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微软雅黑" w:hAnsi="微软雅黑" w:eastAsia="微软雅黑"/>
          <w:color w:val="0F1119"/>
          <w:sz w:val="52"/>
        </w:rPr>
        <w:t>电力市场全景仿真系统 · 使用手册</w:t>
      </w:r>
    </w:p>
    <w:p>
      <w:pPr>
        <w:jc w:val="center"/>
      </w:pPr>
      <w:r>
        <w:rPr>
          <w:color w:val="CCCCCC"/>
          <w:sz w:val="16"/>
        </w:rPr>
        <w:t>────────────────────────────────────────────────────────────</w:t>
      </w:r>
    </w:p>
    <w:p>
      <w:pPr>
        <w:pStyle w:val="Heading1"/>
      </w:pPr>
      <w:r>
        <w:rPr>
          <w:rFonts w:ascii="微软雅黑" w:hAnsi="微软雅黑" w:eastAsia="微软雅黑"/>
          <w:color w:val="0F1119"/>
          <w:sz w:val="40"/>
        </w:rPr>
        <w:t>目录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[第一章 系统简介与功能总览](#第一章-系统简介与功能总览)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[1.1 系统是什么](#11-系统是什么)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[1.2 谁适合使用](#12-谁适合使用)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[1.3 核心功能一览](#13-核心功能一览)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[1.4 界面布局说明](#14-界面布局说明)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[1.5 名词解释（小白必读）](#15-名词解释小白必读)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[第二章 账号注册与登录](#第二章-账号注册与登录)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[2.1 登录系统](#21-登录系统)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[2.2 注册新账号](#22-注册新账号)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[2.3 忘记密码](#23-忘记密码)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[2.4 退出登录](#24-退出登录)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[第三章 首页仪表盘](#第三章-首页仪表盘)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[3.1 欢迎横幅](#31-欢迎横幅)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[3.2 统计卡片](#32-统计卡片)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[3.3 快捷入口](#33-快捷入口)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[3.4 全网负荷与现货价格趋势图](#34-全网负荷与现货价格趋势图)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[3.5 发电结构占比图](#35-发电结构占比图)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[3.6 各省装机容量分布图](#36-各省装机容量分布图)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[3.7 系统公告](#37-系统公告)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[第四章 工作台（房间管理）](#第四章-工作台房间管理)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[4.1 什么是"房间"](#41-什么是房间)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[4.2 仪表盘概览](#42-仪表盘概览)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[4.3 创建房间](#43-创建房间)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[4.4 加入房间](#44-加入房间)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[4.5 仿真进度跟踪](#45-仿真进度跟踪)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[第五章 仿真流程（七步向导）](#第五章-仿真流程七步向导)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[5.1 流程总览](#51-流程总览)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[5.2 第一步：交易规则设置](#52-第一步交易规则设置)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[5.3 第二步：市场主体设置](#53-第二步市场主体设置)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[5.4 第三步：场景信息设置](#54-第三步场景信息设置)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[5.5 第四步：仿真市场设置](#55-第四步仿真市场设置)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[5.6 第五步：集中竞价出清](#56-第五步集中竞价出清)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[5.7 第六步：成员持仓分配](#57-第六步成员持仓分配)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[5.8 第七步：现货市场出清](#58-第七步现货市场出清)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[第六章 信息披露](#第六章-信息披露)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[6.1 市场总览](#61-市场总览)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[6.2 机组信息](#62-机组信息)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[6.3 新能源出力预测](#63-新能源出力预测)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[6.4 正负备用需求](#64-正负备用需求)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[6.5 电网运行参数](#65-电网运行参数)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[6.6 主要断面参数](#66-主要断面参数)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[6.7 系统负荷预测](#67-系统负荷预测)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[6.8 联络线计划](#68-联络线计划)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[6.9 气象数据](#69-气象数据)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[第七章 信息维护（市场主体）](#第七章-信息维护市场主体)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[7.1 概述与市场主体类型](#71-概述与市场主体类型)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[7.2 煤电信息维护](#72-煤电信息维护)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[7.3 风电信息维护](#73-风电信息维护)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[7.4 光伏信息维护](#74-光伏信息维护)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[7.5 其他类型维护](#75-其他类型维护)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[7.6 通用操作：搜索、新增、编辑、删除](#76-通用操作搜索新增编辑删除)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[第八章 中长期交易](#第八章-中长期交易)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[8.1 双边合约](#81-双边合约)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[8.2 挂牌摘牌](#82-挂牌摘牌)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[8.3 集中竞价](#83-集中竞价)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[8.4 滚动撮合](#84-滚动撮合)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[8.5 我的持仓](#85-我的持仓)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[第九章 省内现货交易](#第九章-省内现货交易)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[9.1 日前市场交易](#91-日前市场交易)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[9.2 实时市场交易](#92-实时市场交易)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[9.3 阶梯报价组件](#93-阶梯报价组件)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[第十章 零售市场交易](#第十章-零售市场交易)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[10.1 合约签订](#101-合约签订)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[10.2 实际用电](#102-实际用电)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[10.3 合约结算](#103-合约结算)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[10.4 批零持仓管理](#104-批零持仓管理)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[第十一章 交易结果与分析](#第十一章-交易结果与分析)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[11.1 分时结果分析](#111-分时结果分析)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[11.2 全天结果分析](#112-全天结果分析)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[11.3 图形化展示](#113-图形化展示)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[11.4 结算账单生成](#114-结算账单生成)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[11.5 多场景对比](#115-多场景对比)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[第十二章 交易对比](#第十二章-交易对比)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[12.1 中长期合约对比](#121-中长期合约对比)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[12.2 现货报价对比](#122-现货报价对比)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[第十三章 默认案例库](#第十三章-默认案例库)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[13.1 案例列表](#131-案例列表)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[13.2 案例详情](#132-案例详情)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[13.3 新增 / 编辑 / 复制 / 删除案例](#133-新增--编辑--复制--删除案例)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[第十四章 个人中心与用户管理](#第十四章-个人中心与用户管理)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[14.1 用户信息](#141-用户信息)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[14.2 修改密码](#142-修改密码)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[14.3 用户管理（管理员）](#143-用户管理管理员)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[14.4 用户组管理](#144-用户组管理)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[14.5 白名单管理](#145-白名单管理)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[第十五章 常见问题 FAQ](#第十五章-常见问题-faq)</w:t>
      </w:r>
    </w:p>
    <w:p>
      <w:pPr>
        <w:jc w:val="center"/>
      </w:pPr>
      <w:r>
        <w:rPr>
          <w:color w:val="CCCCCC"/>
          <w:sz w:val="16"/>
        </w:rPr>
        <w:t>────────────────────────────────────────────────────────────</w:t>
      </w:r>
    </w:p>
    <w:p>
      <w:pPr>
        <w:pStyle w:val="Heading1"/>
      </w:pPr>
      <w:r>
        <w:rPr>
          <w:rFonts w:ascii="微软雅黑" w:hAnsi="微软雅黑" w:eastAsia="微软雅黑"/>
          <w:color w:val="0F1119"/>
          <w:sz w:val="40"/>
        </w:rPr>
        <w:t>第一章 系统简介与功能总览</w:t>
      </w:r>
    </w:p>
    <w:p>
      <w:pPr>
        <w:pStyle w:val="Heading2"/>
      </w:pPr>
      <w:r>
        <w:rPr>
          <w:rFonts w:ascii="微软雅黑" w:hAnsi="微软雅黑" w:eastAsia="微软雅黑"/>
          <w:color w:val="0050B3"/>
          <w:sz w:val="32"/>
        </w:rPr>
        <w:t>1.1 系统是什么</w:t>
      </w:r>
    </w:p>
    <w:p>
      <w:r>
        <w:rPr>
          <w:rFonts w:ascii="微软雅黑" w:hAnsi="微软雅黑" w:eastAsia="微软雅黑"/>
          <w:sz w:val="22"/>
        </w:rPr>
      </w:r>
      <w:r>
        <w:rPr>
          <w:rFonts w:ascii="微软雅黑" w:hAnsi="微软雅黑" w:eastAsia="微软雅黑"/>
          <w:b/>
          <w:sz w:val="22"/>
        </w:rPr>
        <w:t>电力市场全景仿真系统</w:t>
      </w:r>
      <w:r>
        <w:rPr>
          <w:rFonts w:ascii="微软雅黑" w:hAnsi="微软雅黑" w:eastAsia="微软雅黑"/>
          <w:sz w:val="22"/>
        </w:rPr>
        <w:t>是一个面向电力市场教学与训练的全流程仿真平台。它模拟了真实电力市场从中长期合约、现货竞价到零售交易、结算出清的完整业务链条，让使用者在无需承担真实财务风险的前提下，学习电力市场的运行规则、报价策略与结算逻辑。</w:t>
      </w:r>
    </w:p>
    <w:p>
      <w:r>
        <w:rPr>
          <w:rFonts w:ascii="微软雅黑" w:hAnsi="微软雅黑" w:eastAsia="微软雅黑"/>
          <w:sz w:val="22"/>
        </w:rPr>
        <w:t>简单来说：</w:t>
      </w:r>
      <w:r>
        <w:rPr>
          <w:rFonts w:ascii="微软雅黑" w:hAnsi="微软雅黑" w:eastAsia="微软雅黑"/>
          <w:b/>
          <w:sz w:val="22"/>
        </w:rPr>
        <w:t>你可以把它当成一个"电力市场沙盘"</w:t>
      </w:r>
      <w:r>
        <w:rPr>
          <w:rFonts w:ascii="微软雅黑" w:hAnsi="微软雅黑" w:eastAsia="微软雅黑"/>
          <w:sz w:val="22"/>
        </w:rPr>
        <w:t>——在里面扮演发电企业、售电公司或电力用户，和其他参与者一起完成从签约到竞价、从出清到结算的全过程。</w:t>
      </w:r>
    </w:p>
    <w:p>
      <w:pPr>
        <w:pStyle w:val="Heading2"/>
      </w:pPr>
      <w:r>
        <w:rPr>
          <w:rFonts w:ascii="微软雅黑" w:hAnsi="微软雅黑" w:eastAsia="微软雅黑"/>
          <w:color w:val="0050B3"/>
          <w:sz w:val="32"/>
        </w:rPr>
        <w:t>1.2 谁适合使用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  <w:shd w:val="clear" w:color="auto" w:fill="007AFF"/>
          </w:tcPr>
          <w:p>
            <w:r/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角色</w:t>
            </w:r>
          </w:p>
        </w:tc>
        <w:tc>
          <w:tcPr>
            <w:tcW w:type="dxa" w:w="4703"/>
            <w:shd w:val="clear" w:color="auto" w:fill="007AFF"/>
          </w:tcPr>
          <w:p>
            <w:r/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典型场景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微软雅黑" w:hAnsi="微软雅黑" w:eastAsia="微软雅黑"/>
                <w:sz w:val="20"/>
              </w:rPr>
              <w:t>**学生 / 学员**</w:t>
            </w:r>
          </w:p>
        </w:tc>
        <w:tc>
          <w:tcPr>
            <w:tcW w:type="dxa" w:w="4703"/>
          </w:tcPr>
          <w:p>
            <w:r/>
            <w:r>
              <w:rPr>
                <w:rFonts w:ascii="微软雅黑" w:hAnsi="微软雅黑" w:eastAsia="微软雅黑"/>
                <w:sz w:val="20"/>
              </w:rPr>
              <w:t>电力市场课程实验、毕业设计、报价策略训练</w:t>
            </w:r>
          </w:p>
        </w:tc>
      </w:tr>
      <w:tr>
        <w:tc>
          <w:tcPr>
            <w:tcW w:type="dxa" w:w="4703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**教师 / 培训师**</w:t>
            </w:r>
          </w:p>
        </w:tc>
        <w:tc>
          <w:tcPr>
            <w:tcW w:type="dxa" w:w="4703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创建仿真房间、配置场景、组织多人博弈训练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微软雅黑" w:hAnsi="微软雅黑" w:eastAsia="微软雅黑"/>
                <w:sz w:val="20"/>
              </w:rPr>
              <w:t>**市场研究人员**</w:t>
            </w:r>
          </w:p>
        </w:tc>
        <w:tc>
          <w:tcPr>
            <w:tcW w:type="dxa" w:w="4703"/>
          </w:tcPr>
          <w:p>
            <w:r/>
            <w:r>
              <w:rPr>
                <w:rFonts w:ascii="微软雅黑" w:hAnsi="微软雅黑" w:eastAsia="微软雅黑"/>
                <w:sz w:val="20"/>
              </w:rPr>
              <w:t>测试不同市场规则下的出清结果与价格走势</w:t>
            </w:r>
          </w:p>
        </w:tc>
      </w:tr>
      <w:tr>
        <w:tc>
          <w:tcPr>
            <w:tcW w:type="dxa" w:w="4703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**电力企业新员工**</w:t>
            </w:r>
          </w:p>
        </w:tc>
        <w:tc>
          <w:tcPr>
            <w:tcW w:type="dxa" w:w="4703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快速理解中长期、现货、零售各市场品种的衔接关系</w:t>
            </w:r>
          </w:p>
        </w:tc>
      </w:tr>
    </w:tbl>
    <w:p/>
    <w:p>
      <w:pPr>
        <w:pStyle w:val="Heading2"/>
      </w:pPr>
      <w:r>
        <w:rPr>
          <w:rFonts w:ascii="微软雅黑" w:hAnsi="微软雅黑" w:eastAsia="微软雅黑"/>
          <w:color w:val="0050B3"/>
          <w:sz w:val="32"/>
        </w:rPr>
        <w:t>1.3 核心功能一览</w:t>
      </w:r>
    </w:p>
    <w:p>
      <w:r>
        <w:rPr>
          <w:rFonts w:ascii="微软雅黑" w:hAnsi="微软雅黑" w:eastAsia="微软雅黑"/>
          <w:sz w:val="22"/>
        </w:rPr>
        <w:t xml:space="preserve">系统共包含 </w:t>
      </w:r>
      <w:r>
        <w:rPr>
          <w:rFonts w:ascii="微软雅黑" w:hAnsi="微软雅黑" w:eastAsia="微软雅黑"/>
          <w:b/>
          <w:sz w:val="22"/>
        </w:rPr>
        <w:t>13 个一级功能模块</w:t>
      </w:r>
      <w:r>
        <w:rPr>
          <w:rFonts w:ascii="微软雅黑" w:hAnsi="微软雅黑" w:eastAsia="微软雅黑"/>
          <w:sz w:val="22"/>
        </w:rPr>
        <w:t>，覆盖电力市场全品种交易仿真：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  <w:shd w:val="clear" w:color="auto" w:fill="007AFF"/>
          </w:tcPr>
          <w:p>
            <w:r/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序号</w:t>
            </w:r>
          </w:p>
        </w:tc>
        <w:tc>
          <w:tcPr>
            <w:tcW w:type="dxa" w:w="2351"/>
            <w:shd w:val="clear" w:color="auto" w:fill="007AFF"/>
          </w:tcPr>
          <w:p>
            <w:r/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模块</w:t>
            </w:r>
          </w:p>
        </w:tc>
        <w:tc>
          <w:tcPr>
            <w:tcW w:type="dxa" w:w="2351"/>
            <w:shd w:val="clear" w:color="auto" w:fill="007AFF"/>
          </w:tcPr>
          <w:p>
            <w:r/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路径</w:t>
            </w:r>
          </w:p>
        </w:tc>
        <w:tc>
          <w:tcPr>
            <w:tcW w:type="dxa" w:w="2351"/>
            <w:shd w:val="clear" w:color="auto" w:fill="007AFF"/>
          </w:tcPr>
          <w:p>
            <w:r/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说明</w:t>
            </w:r>
          </w:p>
        </w:tc>
      </w:tr>
      <w:tr>
        <w:tc>
          <w:tcPr>
            <w:tcW w:type="dxa" w:w="2351"/>
          </w:tcPr>
          <w:p>
            <w:r/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351"/>
          </w:tcPr>
          <w:p>
            <w:r/>
            <w:r>
              <w:rPr>
                <w:rFonts w:ascii="微软雅黑" w:hAnsi="微软雅黑" w:eastAsia="微软雅黑"/>
                <w:sz w:val="20"/>
              </w:rPr>
              <w:t>首页</w:t>
            </w:r>
          </w:p>
        </w:tc>
        <w:tc>
          <w:tcPr>
            <w:tcW w:type="dxa" w:w="2351"/>
          </w:tcPr>
          <w:p>
            <w:r/>
            <w:r>
              <w:rPr>
                <w:rFonts w:ascii="微软雅黑" w:hAnsi="微软雅黑" w:eastAsia="微软雅黑"/>
                <w:sz w:val="20"/>
              </w:rPr>
              <w:t>`/home`</w:t>
            </w:r>
          </w:p>
        </w:tc>
        <w:tc>
          <w:tcPr>
            <w:tcW w:type="dxa" w:w="2351"/>
          </w:tcPr>
          <w:p>
            <w:r/>
            <w:r>
              <w:rPr>
                <w:rFonts w:ascii="微软雅黑" w:hAnsi="微软雅黑" w:eastAsia="微软雅黑"/>
                <w:sz w:val="20"/>
              </w:rPr>
              <w:t>全网数据总览、快捷入口、系统公告</w:t>
            </w:r>
          </w:p>
        </w:tc>
      </w:tr>
      <w:tr>
        <w:tc>
          <w:tcPr>
            <w:tcW w:type="dxa" w:w="2351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351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工作台</w:t>
            </w:r>
          </w:p>
        </w:tc>
        <w:tc>
          <w:tcPr>
            <w:tcW w:type="dxa" w:w="2351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`/workspace/dashboard`</w:t>
            </w:r>
          </w:p>
        </w:tc>
        <w:tc>
          <w:tcPr>
            <w:tcW w:type="dxa" w:w="2351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仿真房间管理、进度跟踪</w:t>
            </w:r>
          </w:p>
        </w:tc>
      </w:tr>
      <w:tr>
        <w:tc>
          <w:tcPr>
            <w:tcW w:type="dxa" w:w="2351"/>
          </w:tcPr>
          <w:p>
            <w:r/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351"/>
          </w:tcPr>
          <w:p>
            <w:r/>
            <w:r>
              <w:rPr>
                <w:rFonts w:ascii="微软雅黑" w:hAnsi="微软雅黑" w:eastAsia="微软雅黑"/>
                <w:sz w:val="20"/>
              </w:rPr>
              <w:t>仿真流程</w:t>
            </w:r>
          </w:p>
        </w:tc>
        <w:tc>
          <w:tcPr>
            <w:tcW w:type="dxa" w:w="2351"/>
          </w:tcPr>
          <w:p>
            <w:r/>
            <w:r>
              <w:rPr>
                <w:rFonts w:ascii="微软雅黑" w:hAnsi="微软雅黑" w:eastAsia="微软雅黑"/>
                <w:sz w:val="20"/>
              </w:rPr>
              <w:t>`/caseroom/*`</w:t>
            </w:r>
          </w:p>
        </w:tc>
        <w:tc>
          <w:tcPr>
            <w:tcW w:type="dxa" w:w="2351"/>
          </w:tcPr>
          <w:p>
            <w:r/>
            <w:r>
              <w:rPr>
                <w:rFonts w:ascii="微软雅黑" w:hAnsi="微软雅黑" w:eastAsia="微软雅黑"/>
                <w:sz w:val="20"/>
              </w:rPr>
              <w:t>七步向导：规则→主体→场景→市场→出清</w:t>
            </w:r>
          </w:p>
        </w:tc>
      </w:tr>
      <w:tr>
        <w:tc>
          <w:tcPr>
            <w:tcW w:type="dxa" w:w="2351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351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交易对比</w:t>
            </w:r>
          </w:p>
        </w:tc>
        <w:tc>
          <w:tcPr>
            <w:tcW w:type="dxa" w:w="2351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`/compare/*`</w:t>
            </w:r>
          </w:p>
        </w:tc>
        <w:tc>
          <w:tcPr>
            <w:tcW w:type="dxa" w:w="2351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中长期合约对比、现货报价对比</w:t>
            </w:r>
          </w:p>
        </w:tc>
      </w:tr>
      <w:tr>
        <w:tc>
          <w:tcPr>
            <w:tcW w:type="dxa" w:w="2351"/>
          </w:tcPr>
          <w:p>
            <w:r/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351"/>
          </w:tcPr>
          <w:p>
            <w:r/>
            <w:r>
              <w:rPr>
                <w:rFonts w:ascii="微软雅黑" w:hAnsi="微软雅黑" w:eastAsia="微软雅黑"/>
                <w:sz w:val="20"/>
              </w:rPr>
              <w:t>信息维护</w:t>
            </w:r>
          </w:p>
        </w:tc>
        <w:tc>
          <w:tcPr>
            <w:tcW w:type="dxa" w:w="2351"/>
          </w:tcPr>
          <w:p>
            <w:r/>
            <w:r>
              <w:rPr>
                <w:rFonts w:ascii="微软雅黑" w:hAnsi="微软雅黑" w:eastAsia="微软雅黑"/>
                <w:sz w:val="20"/>
              </w:rPr>
              <w:t>`/member-info/*`</w:t>
            </w:r>
          </w:p>
        </w:tc>
        <w:tc>
          <w:tcPr>
            <w:tcW w:type="dxa" w:w="2351"/>
          </w:tcPr>
          <w:p>
            <w:r/>
            <w:r>
              <w:rPr>
                <w:rFonts w:ascii="微软雅黑" w:hAnsi="微软雅黑" w:eastAsia="微软雅黑"/>
                <w:sz w:val="20"/>
              </w:rPr>
              <w:t>13类市场主体信息录入与管理</w:t>
            </w:r>
          </w:p>
        </w:tc>
      </w:tr>
      <w:tr>
        <w:tc>
          <w:tcPr>
            <w:tcW w:type="dxa" w:w="2351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351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信息披露</w:t>
            </w:r>
          </w:p>
        </w:tc>
        <w:tc>
          <w:tcPr>
            <w:tcW w:type="dxa" w:w="2351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`/info/*`</w:t>
            </w:r>
          </w:p>
        </w:tc>
        <w:tc>
          <w:tcPr>
            <w:tcW w:type="dxa" w:w="2351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市场总览、机组、负荷、新能源等公开信息</w:t>
            </w:r>
          </w:p>
        </w:tc>
      </w:tr>
      <w:tr>
        <w:tc>
          <w:tcPr>
            <w:tcW w:type="dxa" w:w="2351"/>
          </w:tcPr>
          <w:p>
            <w:r/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351"/>
          </w:tcPr>
          <w:p>
            <w:r/>
            <w:r>
              <w:rPr>
                <w:rFonts w:ascii="微软雅黑" w:hAnsi="微软雅黑" w:eastAsia="微软雅黑"/>
                <w:sz w:val="20"/>
              </w:rPr>
              <w:t>中长期交易</w:t>
            </w:r>
          </w:p>
        </w:tc>
        <w:tc>
          <w:tcPr>
            <w:tcW w:type="dxa" w:w="2351"/>
          </w:tcPr>
          <w:p>
            <w:r/>
            <w:r>
              <w:rPr>
                <w:rFonts w:ascii="微软雅黑" w:hAnsi="微软雅黑" w:eastAsia="微软雅黑"/>
                <w:sz w:val="20"/>
              </w:rPr>
              <w:t>`/longterm-trade/*`</w:t>
            </w:r>
          </w:p>
        </w:tc>
        <w:tc>
          <w:tcPr>
            <w:tcW w:type="dxa" w:w="2351"/>
          </w:tcPr>
          <w:p>
            <w:r/>
            <w:r>
              <w:rPr>
                <w:rFonts w:ascii="微软雅黑" w:hAnsi="微软雅黑" w:eastAsia="微软雅黑"/>
                <w:sz w:val="20"/>
              </w:rPr>
              <w:t>双边、挂牌、集中竞价、滚动撮合、持仓</w:t>
            </w:r>
          </w:p>
        </w:tc>
      </w:tr>
      <w:tr>
        <w:tc>
          <w:tcPr>
            <w:tcW w:type="dxa" w:w="2351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351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零售市场</w:t>
            </w:r>
          </w:p>
        </w:tc>
        <w:tc>
          <w:tcPr>
            <w:tcW w:type="dxa" w:w="2351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`/retail-contract/*`</w:t>
            </w:r>
          </w:p>
        </w:tc>
        <w:tc>
          <w:tcPr>
            <w:tcW w:type="dxa" w:w="2351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合约签订、实际用电、结算、批零持仓</w:t>
            </w:r>
          </w:p>
        </w:tc>
      </w:tr>
      <w:tr>
        <w:tc>
          <w:tcPr>
            <w:tcW w:type="dxa" w:w="2351"/>
          </w:tcPr>
          <w:p>
            <w:r/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351"/>
          </w:tcPr>
          <w:p>
            <w:r/>
            <w:r>
              <w:rPr>
                <w:rFonts w:ascii="微软雅黑" w:hAnsi="微软雅黑" w:eastAsia="微软雅黑"/>
                <w:sz w:val="20"/>
              </w:rPr>
              <w:t>省内现货</w:t>
            </w:r>
          </w:p>
        </w:tc>
        <w:tc>
          <w:tcPr>
            <w:tcW w:type="dxa" w:w="2351"/>
          </w:tcPr>
          <w:p>
            <w:r/>
            <w:r>
              <w:rPr>
                <w:rFonts w:ascii="微软雅黑" w:hAnsi="微软雅黑" w:eastAsia="微软雅黑"/>
                <w:sz w:val="20"/>
              </w:rPr>
              <w:t>`/in-province-spot-trade/*`</w:t>
            </w:r>
          </w:p>
        </w:tc>
        <w:tc>
          <w:tcPr>
            <w:tcW w:type="dxa" w:w="2351"/>
          </w:tcPr>
          <w:p>
            <w:r/>
            <w:r>
              <w:rPr>
                <w:rFonts w:ascii="微软雅黑" w:hAnsi="微软雅黑" w:eastAsia="微软雅黑"/>
                <w:sz w:val="20"/>
              </w:rPr>
              <w:t>日前报价、实时报价、阶梯报价</w:t>
            </w:r>
          </w:p>
        </w:tc>
      </w:tr>
      <w:tr>
        <w:tc>
          <w:tcPr>
            <w:tcW w:type="dxa" w:w="2351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351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交易结果</w:t>
            </w:r>
          </w:p>
        </w:tc>
        <w:tc>
          <w:tcPr>
            <w:tcW w:type="dxa" w:w="2351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`/result/*`</w:t>
            </w:r>
          </w:p>
        </w:tc>
        <w:tc>
          <w:tcPr>
            <w:tcW w:type="dxa" w:w="2351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分时/全天分析、图形展示、结算、对比</w:t>
            </w:r>
          </w:p>
        </w:tc>
      </w:tr>
      <w:tr>
        <w:tc>
          <w:tcPr>
            <w:tcW w:type="dxa" w:w="2351"/>
          </w:tcPr>
          <w:p>
            <w:r/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351"/>
          </w:tcPr>
          <w:p>
            <w:r/>
            <w:r>
              <w:rPr>
                <w:rFonts w:ascii="微软雅黑" w:hAnsi="微软雅黑" w:eastAsia="微软雅黑"/>
                <w:sz w:val="20"/>
              </w:rPr>
              <w:t>默认案例</w:t>
            </w:r>
          </w:p>
        </w:tc>
        <w:tc>
          <w:tcPr>
            <w:tcW w:type="dxa" w:w="2351"/>
          </w:tcPr>
          <w:p>
            <w:r/>
            <w:r>
              <w:rPr>
                <w:rFonts w:ascii="微软雅黑" w:hAnsi="微软雅黑" w:eastAsia="微软雅黑"/>
                <w:sz w:val="20"/>
              </w:rPr>
              <w:t>`/default-cases/*`</w:t>
            </w:r>
          </w:p>
        </w:tc>
        <w:tc>
          <w:tcPr>
            <w:tcW w:type="dxa" w:w="2351"/>
          </w:tcPr>
          <w:p>
            <w:r/>
            <w:r>
              <w:rPr>
                <w:rFonts w:ascii="微软雅黑" w:hAnsi="微软雅黑" w:eastAsia="微软雅黑"/>
                <w:sz w:val="20"/>
              </w:rPr>
              <w:t>标准案例库，一键开始训练</w:t>
            </w:r>
          </w:p>
        </w:tc>
      </w:tr>
      <w:tr>
        <w:tc>
          <w:tcPr>
            <w:tcW w:type="dxa" w:w="2351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351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个人中心</w:t>
            </w:r>
          </w:p>
        </w:tc>
        <w:tc>
          <w:tcPr>
            <w:tcW w:type="dxa" w:w="2351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`/user/*`</w:t>
            </w:r>
          </w:p>
        </w:tc>
        <w:tc>
          <w:tcPr>
            <w:tcW w:type="dxa" w:w="2351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用户信息、修改密码</w:t>
            </w:r>
          </w:p>
        </w:tc>
      </w:tr>
      <w:tr>
        <w:tc>
          <w:tcPr>
            <w:tcW w:type="dxa" w:w="2351"/>
          </w:tcPr>
          <w:p>
            <w:r/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351"/>
          </w:tcPr>
          <w:p>
            <w:r/>
            <w:r>
              <w:rPr>
                <w:rFonts w:ascii="微软雅黑" w:hAnsi="微软雅黑" w:eastAsia="微软雅黑"/>
                <w:sz w:val="20"/>
              </w:rPr>
              <w:t>用户管理</w:t>
            </w:r>
          </w:p>
        </w:tc>
        <w:tc>
          <w:tcPr>
            <w:tcW w:type="dxa" w:w="2351"/>
          </w:tcPr>
          <w:p>
            <w:r/>
            <w:r>
              <w:rPr>
                <w:rFonts w:ascii="微软雅黑" w:hAnsi="微软雅黑" w:eastAsia="微软雅黑"/>
                <w:sz w:val="20"/>
              </w:rPr>
              <w:t>`/user-management/*`</w:t>
            </w:r>
          </w:p>
        </w:tc>
        <w:tc>
          <w:tcPr>
            <w:tcW w:type="dxa" w:w="2351"/>
          </w:tcPr>
          <w:p>
            <w:r/>
            <w:r>
              <w:rPr>
                <w:rFonts w:ascii="微软雅黑" w:hAnsi="微软雅黑" w:eastAsia="微软雅黑"/>
                <w:sz w:val="20"/>
              </w:rPr>
              <w:t>用户/用户组/白名单（仅管理员）</w:t>
            </w:r>
          </w:p>
        </w:tc>
      </w:tr>
    </w:tbl>
    <w:p/>
    <w:p>
      <w:pPr>
        <w:pStyle w:val="Heading2"/>
      </w:pPr>
      <w:r>
        <w:rPr>
          <w:rFonts w:ascii="微软雅黑" w:hAnsi="微软雅黑" w:eastAsia="微软雅黑"/>
          <w:color w:val="0050B3"/>
          <w:sz w:val="32"/>
        </w:rPr>
        <w:t>1.4 界面布局说明</w:t>
      </w:r>
    </w:p>
    <w:p>
      <w:r>
        <w:rPr>
          <w:rFonts w:ascii="微软雅黑" w:hAnsi="微软雅黑" w:eastAsia="微软雅黑"/>
          <w:sz w:val="22"/>
        </w:rPr>
        <w:t>登录后，你会看到如下界面结构：</w:t>
      </w:r>
    </w:p>
    <w:p>
      <w:pPr>
        <w:ind w:left="567"/>
        <w:shd w:val="clear" w:color="auto" w:fill="F0F0F0"/>
      </w:pPr>
      <w:r>
        <w:rPr>
          <w:rFonts w:ascii="Consolas" w:hAnsi="Consolas"/>
          <w:color w:val="333333"/>
          <w:sz w:val="18"/>
        </w:rPr>
        <w:t>┌──────────────────────────────────────────────────┐</w:t>
        <w:br/>
        <w:t>│  侧边栏     │  顶部栏（折叠按钮 + 面包屑 + 用户）      │</w:t>
        <w:br/>
        <w:t>│  (深色)     ├──────────────────────────────────────┤</w:t>
        <w:br/>
        <w:t>│            │                                      │</w:t>
        <w:br/>
        <w:t>│  · 首页     │                                      │</w:t>
        <w:br/>
        <w:t>│  · 工作台   │           主内容区                    │</w:t>
        <w:br/>
        <w:t>│  · 仿真流程 │        （当前页面内容）                │</w:t>
        <w:br/>
        <w:t>│  · 信息披露 │                                      │</w:t>
        <w:br/>
        <w:t>│  · 中长期   │                                      │</w:t>
        <w:br/>
        <w:t>│  · 现货     │                                      │</w:t>
        <w:br/>
        <w:t>│  · 结果     │                                      │</w:t>
        <w:br/>
        <w:t>│  · 默认案例 │                                      │</w:t>
        <w:br/>
        <w:t>│  · 个人中心 │                                      │</w:t>
        <w:br/>
        <w:t>│            │                                      │</w:t>
        <w:br/>
        <w:t>└──────────────────────────────────────────────────┘</w:t>
      </w:r>
    </w:p>
    <w:p>
      <w:pPr>
        <w:pStyle w:val="ListBullet"/>
      </w:pPr>
      <w:r>
        <w:rPr>
          <w:rFonts w:ascii="微软雅黑" w:hAnsi="微软雅黑" w:eastAsia="微软雅黑"/>
          <w:b/>
          <w:sz w:val="22"/>
        </w:rPr>
        <w:t>左侧边栏</w:t>
      </w:r>
      <w:r>
        <w:rPr>
          <w:rFonts w:ascii="微软雅黑" w:hAnsi="微软雅黑" w:eastAsia="微软雅黑"/>
          <w:sz w:val="22"/>
        </w:rPr>
        <w:t>深色背景，包含所有功能模块的导航菜单。点击带 ▸ 箭头的菜单项可展开子菜单。</w:t>
      </w:r>
    </w:p>
    <w:p>
      <w:pPr>
        <w:pStyle w:val="ListBullet"/>
      </w:pPr>
      <w:r>
        <w:rPr>
          <w:rFonts w:ascii="微软雅黑" w:hAnsi="微软雅黑" w:eastAsia="微软雅黑"/>
          <w:b/>
          <w:sz w:val="22"/>
        </w:rPr>
        <w:t>顶部栏</w:t>
      </w:r>
      <w:r>
        <w:rPr>
          <w:rFonts w:ascii="微软雅黑" w:hAnsi="微软雅黑" w:eastAsia="微软雅黑"/>
          <w:sz w:val="22"/>
        </w:rPr>
        <w:t>左侧有折叠/展开侧边栏的按钮和面包屑导航（显示当前所在位置），右侧显示当前房间标签和用户头像下拉菜单。</w:t>
      </w:r>
    </w:p>
    <w:p>
      <w:pPr>
        <w:pStyle w:val="ListBullet"/>
      </w:pPr>
      <w:r>
        <w:rPr>
          <w:rFonts w:ascii="微软雅黑" w:hAnsi="微软雅黑" w:eastAsia="微软雅黑"/>
          <w:b/>
          <w:sz w:val="22"/>
        </w:rPr>
        <w:t>主内容区</w:t>
      </w:r>
      <w:r>
        <w:rPr>
          <w:rFonts w:ascii="微软雅黑" w:hAnsi="微软雅黑" w:eastAsia="微软雅黑"/>
          <w:sz w:val="22"/>
        </w:rPr>
        <w:t>展示当前选中页面的具体内容。</w:t>
      </w:r>
    </w:p>
    <w:p>
      <w:pPr>
        <w:pStyle w:val="Heading2"/>
      </w:pPr>
      <w:r>
        <w:rPr>
          <w:rFonts w:ascii="微软雅黑" w:hAnsi="微软雅黑" w:eastAsia="微软雅黑"/>
          <w:color w:val="0050B3"/>
          <w:sz w:val="32"/>
        </w:rPr>
        <w:t>1.5 名词解释（小白必读）</w:t>
      </w:r>
    </w:p>
    <w:p>
      <w:r>
        <w:rPr>
          <w:rFonts w:ascii="微软雅黑" w:hAnsi="微软雅黑" w:eastAsia="微软雅黑"/>
          <w:sz w:val="22"/>
        </w:rPr>
        <w:t>在开始操作前，请先了解以下核心概念：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  <w:shd w:val="clear" w:color="auto" w:fill="007AFF"/>
          </w:tcPr>
          <w:p>
            <w:r/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名词</w:t>
            </w:r>
          </w:p>
        </w:tc>
        <w:tc>
          <w:tcPr>
            <w:tcW w:type="dxa" w:w="4703"/>
            <w:shd w:val="clear" w:color="auto" w:fill="007AFF"/>
          </w:tcPr>
          <w:p>
            <w:r/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通俗解释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微软雅黑" w:hAnsi="微软雅黑" w:eastAsia="微软雅黑"/>
                <w:sz w:val="20"/>
              </w:rPr>
              <w:t>**房间**</w:t>
            </w:r>
          </w:p>
        </w:tc>
        <w:tc>
          <w:tcPr>
            <w:tcW w:type="dxa" w:w="4703"/>
          </w:tcPr>
          <w:p>
            <w:r/>
            <w:r>
              <w:rPr>
                <w:rFonts w:ascii="微软雅黑" w:hAnsi="微软雅黑" w:eastAsia="微软雅黑"/>
                <w:sz w:val="20"/>
              </w:rPr>
              <w:t>一次仿真训练的"教室"。一个房间包含一组参与者、一套规则和一个场景。你必须先加入或创建房间，才能进行交易操作。</w:t>
            </w:r>
          </w:p>
        </w:tc>
      </w:tr>
      <w:tr>
        <w:tc>
          <w:tcPr>
            <w:tcW w:type="dxa" w:w="4703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**出清**</w:t>
            </w:r>
          </w:p>
        </w:tc>
        <w:tc>
          <w:tcPr>
            <w:tcW w:type="dxa" w:w="4703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市场匹配买卖双方、确定成交价格和成交量的过程。类似于"拍卖成交"。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微软雅黑" w:hAnsi="微软雅黑" w:eastAsia="微软雅黑"/>
                <w:sz w:val="20"/>
              </w:rPr>
              <w:t>**中长期交易**</w:t>
            </w:r>
          </w:p>
        </w:tc>
        <w:tc>
          <w:tcPr>
            <w:tcW w:type="dxa" w:w="4703"/>
          </w:tcPr>
          <w:p>
            <w:r/>
            <w:r>
              <w:rPr>
                <w:rFonts w:ascii="微软雅黑" w:hAnsi="微软雅黑" w:eastAsia="微软雅黑"/>
                <w:sz w:val="20"/>
              </w:rPr>
              <w:t>提前数天到数月签订的电力合约，价格相对稳定，类似"批发"。</w:t>
            </w:r>
          </w:p>
        </w:tc>
      </w:tr>
      <w:tr>
        <w:tc>
          <w:tcPr>
            <w:tcW w:type="dxa" w:w="4703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**现货交易**</w:t>
            </w:r>
          </w:p>
        </w:tc>
        <w:tc>
          <w:tcPr>
            <w:tcW w:type="dxa" w:w="4703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提前一天（日前）或实时（实时）进行的电力竞价，价格随供需波动，类似"零售"。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微软雅黑" w:hAnsi="微软雅黑" w:eastAsia="微软雅黑"/>
                <w:sz w:val="20"/>
              </w:rPr>
              <w:t>**日前市场**</w:t>
            </w:r>
          </w:p>
        </w:tc>
        <w:tc>
          <w:tcPr>
            <w:tcW w:type="dxa" w:w="4703"/>
          </w:tcPr>
          <w:p>
            <w:r/>
            <w:r>
              <w:rPr>
                <w:rFonts w:ascii="微软雅黑" w:hAnsi="微软雅黑" w:eastAsia="微软雅黑"/>
                <w:sz w:val="20"/>
              </w:rPr>
              <w:t>提前一天报价、出清的市场。今天报明天的电价和电量。</w:t>
            </w:r>
          </w:p>
        </w:tc>
      </w:tr>
      <w:tr>
        <w:tc>
          <w:tcPr>
            <w:tcW w:type="dxa" w:w="4703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**实时市场**</w:t>
            </w:r>
          </w:p>
        </w:tc>
        <w:tc>
          <w:tcPr>
            <w:tcW w:type="dxa" w:w="4703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当天实时进行的报价和出清，用于弥补日前计划的偏差。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微软雅黑" w:hAnsi="微软雅黑" w:eastAsia="微软雅黑"/>
                <w:sz w:val="20"/>
              </w:rPr>
              <w:t>**双边合约**</w:t>
            </w:r>
          </w:p>
        </w:tc>
        <w:tc>
          <w:tcPr>
            <w:tcW w:type="dxa" w:w="4703"/>
          </w:tcPr>
          <w:p>
            <w:r/>
            <w:r>
              <w:rPr>
                <w:rFonts w:ascii="微软雅黑" w:hAnsi="微软雅黑" w:eastAsia="微软雅黑"/>
                <w:sz w:val="20"/>
              </w:rPr>
              <w:t>买卖双方自行协商价格和电量后签订的合约，不经过集中竞价。</w:t>
            </w:r>
          </w:p>
        </w:tc>
      </w:tr>
      <w:tr>
        <w:tc>
          <w:tcPr>
            <w:tcW w:type="dxa" w:w="4703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**集中竞价**</w:t>
            </w:r>
          </w:p>
        </w:tc>
        <w:tc>
          <w:tcPr>
            <w:tcW w:type="dxa" w:w="4703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所有买方和卖方同时报价，系统统一撮合出清。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微软雅黑" w:hAnsi="微软雅黑" w:eastAsia="微软雅黑"/>
                <w:sz w:val="20"/>
              </w:rPr>
              <w:t>**挂牌摘牌**</w:t>
            </w:r>
          </w:p>
        </w:tc>
        <w:tc>
          <w:tcPr>
            <w:tcW w:type="dxa" w:w="4703"/>
          </w:tcPr>
          <w:p>
            <w:r/>
            <w:r>
              <w:rPr>
                <w:rFonts w:ascii="微软雅黑" w:hAnsi="微软雅黑" w:eastAsia="微软雅黑"/>
                <w:sz w:val="20"/>
              </w:rPr>
              <w:t>一方挂牌（挂出卖单/买单），另一方摘牌（接受报价）成交。</w:t>
            </w:r>
          </w:p>
        </w:tc>
      </w:tr>
      <w:tr>
        <w:tc>
          <w:tcPr>
            <w:tcW w:type="dxa" w:w="4703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**滚动撮合**</w:t>
            </w:r>
          </w:p>
        </w:tc>
        <w:tc>
          <w:tcPr>
            <w:tcW w:type="dxa" w:w="4703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持续进行的撮合交易，买卖双方随时可以报价，系统实时匹配。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微软雅黑" w:hAnsi="微软雅黑" w:eastAsia="微软雅黑"/>
                <w:sz w:val="20"/>
              </w:rPr>
              <w:t>**持仓**</w:t>
            </w:r>
          </w:p>
        </w:tc>
        <w:tc>
          <w:tcPr>
            <w:tcW w:type="dxa" w:w="4703"/>
          </w:tcPr>
          <w:p>
            <w:r/>
            <w:r>
              <w:rPr>
                <w:rFonts w:ascii="微软雅黑" w:hAnsi="微软雅黑" w:eastAsia="微软雅黑"/>
                <w:sz w:val="20"/>
              </w:rPr>
              <w:t>你手中持有的合约电量。买入的叫多头持仓，卖出的叫空头持仓。</w:t>
            </w:r>
          </w:p>
        </w:tc>
      </w:tr>
      <w:tr>
        <w:tc>
          <w:tcPr>
            <w:tcW w:type="dxa" w:w="4703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**零售市场**</w:t>
            </w:r>
          </w:p>
        </w:tc>
        <w:tc>
          <w:tcPr>
            <w:tcW w:type="dxa" w:w="4703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售电公司向终端电力用户售电的市场，类似"零售"。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微软雅黑" w:hAnsi="微软雅黑" w:eastAsia="微软雅黑"/>
                <w:sz w:val="20"/>
              </w:rPr>
              <w:t>**辅助服务**</w:t>
            </w:r>
          </w:p>
        </w:tc>
        <w:tc>
          <w:tcPr>
            <w:tcW w:type="dxa" w:w="4703"/>
          </w:tcPr>
          <w:p>
            <w:r/>
            <w:r>
              <w:rPr>
                <w:rFonts w:ascii="微软雅黑" w:hAnsi="微软雅黑" w:eastAsia="微软雅黑"/>
                <w:sz w:val="20"/>
              </w:rPr>
              <w:t>维持电网安全稳定所需的调频、备用等服务，独立于电能交易。</w:t>
            </w:r>
          </w:p>
        </w:tc>
      </w:tr>
      <w:tr>
        <w:tc>
          <w:tcPr>
            <w:tcW w:type="dxa" w:w="4703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**装机容量**</w:t>
            </w:r>
          </w:p>
        </w:tc>
        <w:tc>
          <w:tcPr>
            <w:tcW w:type="dxa" w:w="4703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发电机组的额定功率，单位 MW（兆瓦）。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微软雅黑" w:hAnsi="微软雅黑" w:eastAsia="微软雅黑"/>
                <w:sz w:val="20"/>
              </w:rPr>
              <w:t>**MWh**</w:t>
            </w:r>
          </w:p>
        </w:tc>
        <w:tc>
          <w:tcPr>
            <w:tcW w:type="dxa" w:w="4703"/>
          </w:tcPr>
          <w:p>
            <w:r/>
            <w:r>
              <w:rPr>
                <w:rFonts w:ascii="微软雅黑" w:hAnsi="微软雅黑" w:eastAsia="微软雅黑"/>
                <w:sz w:val="20"/>
              </w:rPr>
              <w:t>兆瓦时，电量单位。1MW 运行 1 小时 = 1MWh。</w:t>
            </w:r>
          </w:p>
        </w:tc>
      </w:tr>
      <w:tr>
        <w:tc>
          <w:tcPr>
            <w:tcW w:type="dxa" w:w="4703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**元/MWh**</w:t>
            </w:r>
          </w:p>
        </w:tc>
        <w:tc>
          <w:tcPr>
            <w:tcW w:type="dxa" w:w="4703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电价单位，每兆瓦时多少元。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微软雅黑" w:hAnsi="微软雅黑" w:eastAsia="微软雅黑"/>
                <w:sz w:val="20"/>
              </w:rPr>
              <w:t>**断面**</w:t>
            </w:r>
          </w:p>
        </w:tc>
        <w:tc>
          <w:tcPr>
            <w:tcW w:type="dxa" w:w="4703"/>
          </w:tcPr>
          <w:p>
            <w:r/>
            <w:r>
              <w:rPr>
                <w:rFonts w:ascii="微软雅黑" w:hAnsi="微软雅黑" w:eastAsia="微软雅黑"/>
                <w:sz w:val="20"/>
              </w:rPr>
              <w:t>电网中关键的输电通道，有传输限额，超过会"越限"。</w:t>
            </w:r>
          </w:p>
        </w:tc>
      </w:tr>
      <w:tr>
        <w:tc>
          <w:tcPr>
            <w:tcW w:type="dxa" w:w="4703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**备用**</w:t>
            </w:r>
          </w:p>
        </w:tc>
        <w:tc>
          <w:tcPr>
            <w:tcW w:type="dxa" w:w="4703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电网预留的备用发电容量，分为正备用（可增加出力）和负备用（可减少出力）。</w:t>
            </w:r>
          </w:p>
        </w:tc>
      </w:tr>
    </w:tbl>
    <w:p/>
    <w:p>
      <w:pPr>
        <w:jc w:val="center"/>
      </w:pPr>
      <w:r>
        <w:rPr>
          <w:color w:val="CCCCCC"/>
          <w:sz w:val="16"/>
        </w:rPr>
        <w:t>────────────────────────────────────────────────────────────</w:t>
      </w:r>
    </w:p>
    <w:p>
      <w:pPr>
        <w:pStyle w:val="Heading1"/>
      </w:pPr>
      <w:r>
        <w:rPr>
          <w:rFonts w:ascii="微软雅黑" w:hAnsi="微软雅黑" w:eastAsia="微软雅黑"/>
          <w:color w:val="0F1119"/>
          <w:sz w:val="40"/>
        </w:rPr>
        <w:t>第二章 账号注册与登录</w:t>
      </w:r>
    </w:p>
    <w:p>
      <w:pPr>
        <w:pStyle w:val="Heading2"/>
      </w:pPr>
      <w:r>
        <w:rPr>
          <w:rFonts w:ascii="微软雅黑" w:hAnsi="微软雅黑" w:eastAsia="微软雅黑"/>
          <w:color w:val="0050B3"/>
          <w:sz w:val="32"/>
        </w:rPr>
        <w:t>2.1 登录系统</w:t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打开浏览器（推荐 Chrome 或 Edge），访问系统地址：`http://localhost:5173/`</w:t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系统会自动跳转到登录页面。</w:t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在登录页面右侧表单中输入：</w:t>
      </w:r>
    </w:p>
    <w:p>
      <w:pPr>
        <w:pStyle w:val="ListBullet"/>
      </w:pPr>
      <w:r>
        <w:rPr>
          <w:rFonts w:ascii="微软雅黑" w:hAnsi="微软雅黑" w:eastAsia="微软雅黑"/>
          <w:b/>
          <w:sz w:val="22"/>
        </w:rPr>
        <w:t>用户名</w:t>
      </w:r>
      <w:r>
        <w:rPr>
          <w:rFonts w:ascii="微软雅黑" w:hAnsi="微软雅黑" w:eastAsia="微软雅黑"/>
          <w:sz w:val="22"/>
        </w:rPr>
        <w:t>`admin`（演示账号）</w:t>
      </w:r>
    </w:p>
    <w:p>
      <w:pPr>
        <w:pStyle w:val="ListBullet"/>
      </w:pPr>
      <w:r>
        <w:rPr>
          <w:rFonts w:ascii="微软雅黑" w:hAnsi="微软雅黑" w:eastAsia="微软雅黑"/>
          <w:b/>
          <w:sz w:val="22"/>
        </w:rPr>
        <w:t>密码</w:t>
      </w:r>
      <w:r>
        <w:rPr>
          <w:rFonts w:ascii="微软雅黑" w:hAnsi="微软雅黑" w:eastAsia="微软雅黑"/>
          <w:sz w:val="22"/>
        </w:rPr>
        <w:t>`123456`</w:t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勾选"记住我"可方便下次自动填充。</w:t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点击蓝色"登 录"按钮。</w:t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登录成功后，系统自动跳转到首页。</w:t>
      </w:r>
    </w:p>
    <w:p>
      <w:pPr>
        <w:ind w:left="567"/>
      </w:pPr>
      <w:r>
        <w:rPr>
          <w:rFonts w:ascii="微软雅黑" w:hAnsi="微软雅黑" w:eastAsia="微软雅黑"/>
          <w:i/>
          <w:color w:val="666666"/>
          <w:sz w:val="20"/>
        </w:rPr>
        <w:t>**提示**：当前为演示版本，任意用户名+密码均可登录。正式部署后需要管理员分配的账号。</w:t>
      </w:r>
    </w:p>
    <w:p>
      <w:pPr>
        <w:pStyle w:val="Heading2"/>
      </w:pPr>
      <w:r>
        <w:rPr>
          <w:rFonts w:ascii="微软雅黑" w:hAnsi="微软雅黑" w:eastAsia="微软雅黑"/>
          <w:color w:val="0050B3"/>
          <w:sz w:val="32"/>
        </w:rPr>
        <w:t>2.2 注册新账号</w:t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在登录页面，点击右下角的"立即注册"链接。</w:t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进入注册页面，依次填写：</w:t>
      </w:r>
    </w:p>
    <w:p>
      <w:pPr>
        <w:pStyle w:val="ListBullet"/>
      </w:pPr>
      <w:r>
        <w:rPr>
          <w:rFonts w:ascii="微软雅黑" w:hAnsi="微软雅黑" w:eastAsia="微软雅黑"/>
          <w:b/>
          <w:sz w:val="22"/>
        </w:rPr>
        <w:t>用户名</w:t>
      </w:r>
      <w:r>
        <w:rPr>
          <w:rFonts w:ascii="微软雅黑" w:hAnsi="微软雅黑" w:eastAsia="微软雅黑"/>
          <w:sz w:val="22"/>
        </w:rPr>
        <w:t>3-20位字符，建议用英文+数字</w:t>
      </w:r>
    </w:p>
    <w:p>
      <w:pPr>
        <w:pStyle w:val="ListBullet"/>
      </w:pPr>
      <w:r>
        <w:rPr>
          <w:rFonts w:ascii="微软雅黑" w:hAnsi="微软雅黑" w:eastAsia="微软雅黑"/>
          <w:b/>
          <w:sz w:val="22"/>
        </w:rPr>
        <w:t>邮箱</w:t>
      </w:r>
      <w:r>
        <w:rPr>
          <w:rFonts w:ascii="微软雅黑" w:hAnsi="微软雅黑" w:eastAsia="微软雅黑"/>
          <w:sz w:val="22"/>
        </w:rPr>
        <w:t>用于接收验证码，必须真实有效</w:t>
      </w:r>
    </w:p>
    <w:p>
      <w:pPr>
        <w:pStyle w:val="ListBullet"/>
      </w:pPr>
      <w:r>
        <w:rPr>
          <w:rFonts w:ascii="微软雅黑" w:hAnsi="微软雅黑" w:eastAsia="微软雅黑"/>
          <w:b/>
          <w:sz w:val="22"/>
        </w:rPr>
        <w:t>密码</w:t>
      </w:r>
      <w:r>
        <w:rPr>
          <w:rFonts w:ascii="微软雅黑" w:hAnsi="微软雅黑" w:eastAsia="微软雅黑"/>
          <w:sz w:val="22"/>
        </w:rPr>
        <w:t>至少6位</w:t>
      </w:r>
    </w:p>
    <w:p>
      <w:pPr>
        <w:pStyle w:val="ListBullet"/>
      </w:pPr>
      <w:r>
        <w:rPr>
          <w:rFonts w:ascii="微软雅黑" w:hAnsi="微软雅黑" w:eastAsia="微软雅黑"/>
          <w:b/>
          <w:sz w:val="22"/>
        </w:rPr>
        <w:t>确认密码</w:t>
      </w:r>
      <w:r>
        <w:rPr>
          <w:rFonts w:ascii="微软雅黑" w:hAnsi="微软雅黑" w:eastAsia="微软雅黑"/>
          <w:sz w:val="22"/>
        </w:rPr>
        <w:t>与上面一致</w:t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点击"注 册"按钮。</w:t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系统提示"注册成功，请验证邮箱"，自动跳转到邮箱验证页面。</w:t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在邮箱验证页面输入收到的6位验证码，点击"验证并完成注册"。</w:t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验证成功后跳转回登录页面，用新账号登录即可。</w:t>
      </w:r>
    </w:p>
    <w:p>
      <w:pPr>
        <w:pStyle w:val="Heading2"/>
      </w:pPr>
      <w:r>
        <w:rPr>
          <w:rFonts w:ascii="微软雅黑" w:hAnsi="微软雅黑" w:eastAsia="微软雅黑"/>
          <w:color w:val="0050B3"/>
          <w:sz w:val="32"/>
        </w:rPr>
        <w:t>2.3 忘记密码</w:t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在登录页面，点击"忘记密码？"链接。</w:t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输入注册时使用的邮箱地址。</w:t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点击"发送重置链接"。</w:t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登录邮箱，点击重置链接设置新密码。</w:t>
      </w:r>
    </w:p>
    <w:p>
      <w:pPr>
        <w:pStyle w:val="Heading2"/>
      </w:pPr>
      <w:r>
        <w:rPr>
          <w:rFonts w:ascii="微软雅黑" w:hAnsi="微软雅黑" w:eastAsia="微软雅黑"/>
          <w:color w:val="0050B3"/>
          <w:sz w:val="32"/>
        </w:rPr>
        <w:t>2.4 退出登录</w:t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点击顶部栏右上角的用户头像。</w:t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在下拉菜单中选择"退出登录"。</w:t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系统清除登录状态，返回登录页面。</w:t>
      </w:r>
    </w:p>
    <w:p>
      <w:pPr>
        <w:jc w:val="center"/>
      </w:pPr>
      <w:r>
        <w:rPr>
          <w:color w:val="CCCCCC"/>
          <w:sz w:val="16"/>
        </w:rPr>
        <w:t>────────────────────────────────────────────────────────────</w:t>
      </w:r>
    </w:p>
    <w:p>
      <w:pPr>
        <w:pStyle w:val="Heading1"/>
      </w:pPr>
      <w:r>
        <w:rPr>
          <w:rFonts w:ascii="微软雅黑" w:hAnsi="微软雅黑" w:eastAsia="微软雅黑"/>
          <w:color w:val="0F1119"/>
          <w:sz w:val="40"/>
        </w:rPr>
        <w:t>第三章 首页仪表盘</w:t>
      </w:r>
    </w:p>
    <w:p>
      <w:pPr>
        <w:pStyle w:val="Heading2"/>
      </w:pPr>
      <w:r>
        <w:rPr>
          <w:rFonts w:ascii="微软雅黑" w:hAnsi="微软雅黑" w:eastAsia="微软雅黑"/>
          <w:color w:val="0050B3"/>
          <w:sz w:val="32"/>
        </w:rPr>
        <w:t>3.1 欢迎横幅</w:t>
      </w:r>
    </w:p>
    <w:p>
      <w:r>
        <w:rPr>
          <w:rFonts w:ascii="微软雅黑" w:hAnsi="微软雅黑" w:eastAsia="微软雅黑"/>
          <w:sz w:val="22"/>
        </w:rPr>
        <w:t>登录后首先看到的是深蓝色渐变欢迎横幅，显示：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欢迎语："欢迎回来，admin"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系统标语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当前日期</w:t>
      </w:r>
    </w:p>
    <w:p>
      <w:pPr>
        <w:pStyle w:val="Heading2"/>
      </w:pPr>
      <w:r>
        <w:rPr>
          <w:rFonts w:ascii="微软雅黑" w:hAnsi="微软雅黑" w:eastAsia="微软雅黑"/>
          <w:color w:val="0050B3"/>
          <w:sz w:val="32"/>
        </w:rPr>
        <w:t>3.2 统计卡片</w:t>
      </w:r>
    </w:p>
    <w:p>
      <w:r>
        <w:rPr>
          <w:rFonts w:ascii="微软雅黑" w:hAnsi="微软雅黑" w:eastAsia="微软雅黑"/>
          <w:sz w:val="22"/>
        </w:rPr>
        <w:t>横幅下方有4张统计卡片，展示关键运营数据：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  <w:shd w:val="clear" w:color="auto" w:fill="007AFF"/>
          </w:tcPr>
          <w:p>
            <w:r/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卡片</w:t>
            </w:r>
          </w:p>
        </w:tc>
        <w:tc>
          <w:tcPr>
            <w:tcW w:type="dxa" w:w="4703"/>
            <w:shd w:val="clear" w:color="auto" w:fill="007AFF"/>
          </w:tcPr>
          <w:p>
            <w:r/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含义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微软雅黑" w:hAnsi="微软雅黑" w:eastAsia="微软雅黑"/>
                <w:sz w:val="20"/>
              </w:rPr>
              <w:t>仿真房间数</w:t>
            </w:r>
          </w:p>
        </w:tc>
        <w:tc>
          <w:tcPr>
            <w:tcW w:type="dxa" w:w="4703"/>
          </w:tcPr>
          <w:p>
            <w:r/>
            <w:r>
              <w:rPr>
                <w:rFonts w:ascii="微软雅黑" w:hAnsi="微软雅黑" w:eastAsia="微软雅黑"/>
                <w:sz w:val="20"/>
              </w:rPr>
              <w:t>当前系统中活跃的仿真训练房间数量</w:t>
            </w:r>
          </w:p>
        </w:tc>
      </w:tr>
      <w:tr>
        <w:tc>
          <w:tcPr>
            <w:tcW w:type="dxa" w:w="4703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参与成员</w:t>
            </w:r>
          </w:p>
        </w:tc>
        <w:tc>
          <w:tcPr>
            <w:tcW w:type="dxa" w:w="4703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所有房间中的参与人数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微软雅黑" w:hAnsi="微软雅黑" w:eastAsia="微软雅黑"/>
                <w:sz w:val="20"/>
              </w:rPr>
              <w:t>已完成案例</w:t>
            </w:r>
          </w:p>
        </w:tc>
        <w:tc>
          <w:tcPr>
            <w:tcW w:type="dxa" w:w="4703"/>
          </w:tcPr>
          <w:p>
            <w:r/>
            <w:r>
              <w:rPr>
                <w:rFonts w:ascii="微软雅黑" w:hAnsi="微软雅黑" w:eastAsia="微软雅黑"/>
                <w:sz w:val="20"/>
              </w:rPr>
              <w:t>历史已完成出清的案例总数</w:t>
            </w:r>
          </w:p>
        </w:tc>
      </w:tr>
      <w:tr>
        <w:tc>
          <w:tcPr>
            <w:tcW w:type="dxa" w:w="4703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今日交易量</w:t>
            </w:r>
          </w:p>
        </w:tc>
        <w:tc>
          <w:tcPr>
            <w:tcW w:type="dxa" w:w="4703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当天所有市场品种的成交电量</w:t>
            </w:r>
          </w:p>
        </w:tc>
      </w:tr>
    </w:tbl>
    <w:p/>
    <w:p>
      <w:r>
        <w:rPr>
          <w:rFonts w:ascii="微软雅黑" w:hAnsi="微软雅黑" w:eastAsia="微软雅黑"/>
          <w:sz w:val="22"/>
        </w:rPr>
        <w:t>每张卡片右下角有趋势箭头：绿色↑表示增长，红色↓表示下降。</w:t>
      </w:r>
    </w:p>
    <w:p>
      <w:pPr>
        <w:pStyle w:val="Heading2"/>
      </w:pPr>
      <w:r>
        <w:rPr>
          <w:rFonts w:ascii="微软雅黑" w:hAnsi="微软雅黑" w:eastAsia="微软雅黑"/>
          <w:color w:val="0050B3"/>
          <w:sz w:val="32"/>
        </w:rPr>
        <w:t>3.3 快捷入口</w:t>
      </w:r>
    </w:p>
    <w:p>
      <w:r>
        <w:rPr>
          <w:rFonts w:ascii="微软雅黑" w:hAnsi="微软雅黑" w:eastAsia="微软雅黑"/>
          <w:sz w:val="22"/>
        </w:rPr>
        <w:t>统计卡片下方是8个快捷入口图标，点击可直接跳转到对应模块：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市场总览 → 查看市场全景数据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仿真流程 → 配置交易规则与场景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中长期交易 → 双边合约与集中竞价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现货交易 → 日前与实时市场报价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交易结果 → 出清结果与结算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默认案例 → 快速开始标准案例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工作台 → 房间管理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信息维护 → 市场主体信息</w:t>
      </w:r>
    </w:p>
    <w:p>
      <w:pPr>
        <w:pStyle w:val="Heading2"/>
      </w:pPr>
      <w:r>
        <w:rPr>
          <w:rFonts w:ascii="微软雅黑" w:hAnsi="微软雅黑" w:eastAsia="微软雅黑"/>
          <w:color w:val="0050B3"/>
          <w:sz w:val="32"/>
        </w:rPr>
        <w:t>3.4 全网负荷与现货价格趋势图</w:t>
      </w:r>
    </w:p>
    <w:p>
      <w:r>
        <w:rPr>
          <w:rFonts w:ascii="微软雅黑" w:hAnsi="微软雅黑" w:eastAsia="微软雅黑"/>
          <w:sz w:val="22"/>
        </w:rPr>
        <w:t>这是一张双 Y 轴折线图：</w:t>
      </w:r>
    </w:p>
    <w:p>
      <w:pPr>
        <w:pStyle w:val="ListBullet"/>
      </w:pPr>
      <w:r>
        <w:rPr>
          <w:rFonts w:ascii="微软雅黑" w:hAnsi="微软雅黑" w:eastAsia="微软雅黑"/>
          <w:b/>
          <w:sz w:val="22"/>
        </w:rPr>
        <w:t>左 Y 轴</w:t>
      </w:r>
      <w:r>
        <w:rPr>
          <w:rFonts w:ascii="微软雅黑" w:hAnsi="微软雅黑" w:eastAsia="微软雅黑"/>
          <w:sz w:val="22"/>
        </w:rPr>
        <w:t>负荷（MW），展示预测负荷和实际负荷两条曲线</w:t>
      </w:r>
    </w:p>
    <w:p>
      <w:pPr>
        <w:pStyle w:val="ListBullet"/>
      </w:pPr>
      <w:r>
        <w:rPr>
          <w:rFonts w:ascii="微软雅黑" w:hAnsi="微软雅黑" w:eastAsia="微软雅黑"/>
          <w:b/>
          <w:sz w:val="22"/>
        </w:rPr>
        <w:t>右 Y 轴</w:t>
      </w:r>
      <w:r>
        <w:rPr>
          <w:rFonts w:ascii="微软雅黑" w:hAnsi="微软雅黑" w:eastAsia="微软雅黑"/>
          <w:sz w:val="22"/>
        </w:rPr>
        <w:t>现货价格（元/MWh），展示价格走势（虚线）</w:t>
      </w:r>
    </w:p>
    <w:p>
      <w:pPr>
        <w:pStyle w:val="ListBullet"/>
      </w:pPr>
      <w:r>
        <w:rPr>
          <w:rFonts w:ascii="微软雅黑" w:hAnsi="微软雅黑" w:eastAsia="微软雅黑"/>
          <w:b/>
          <w:sz w:val="22"/>
        </w:rPr>
        <w:t>X 轴</w:t>
      </w:r>
      <w:r>
        <w:rPr>
          <w:rFonts w:ascii="微软雅黑" w:hAnsi="微软雅黑" w:eastAsia="微软雅黑"/>
          <w:sz w:val="22"/>
        </w:rPr>
        <w:t>0:00 ~ 23:00 共24个小时</w:t>
      </w:r>
    </w:p>
    <w:p>
      <w:r>
        <w:rPr>
          <w:rFonts w:ascii="微软雅黑" w:hAnsi="微软雅黑" w:eastAsia="微软雅黑"/>
          <w:sz w:val="22"/>
        </w:rPr>
      </w:r>
      <w:r>
        <w:rPr>
          <w:rFonts w:ascii="微软雅黑" w:hAnsi="微软雅黑" w:eastAsia="微软雅黑"/>
          <w:b/>
          <w:sz w:val="22"/>
        </w:rPr>
        <w:t>如何看图</w:t>
      </w:r>
      <w:r>
        <w:rPr>
          <w:rFonts w:ascii="微软雅黑" w:hAnsi="微软雅黑" w:eastAsia="微软雅黑"/>
          <w:sz w:val="22"/>
        </w:rPr>
        <w:t>：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负荷曲线在白天（9-12点）和傍晚（17-21点）有两个高峰，对应用电高峰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现货价格在负荷高峰时也会上涨，体现"供需决定价格"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鼠标悬停在曲线上可查看该时段的精确数值</w:t>
      </w:r>
    </w:p>
    <w:p>
      <w:pPr>
        <w:pStyle w:val="Heading2"/>
      </w:pPr>
      <w:r>
        <w:rPr>
          <w:rFonts w:ascii="微软雅黑" w:hAnsi="微软雅黑" w:eastAsia="微软雅黑"/>
          <w:color w:val="0050B3"/>
          <w:sz w:val="32"/>
        </w:rPr>
        <w:t>3.5 发电结构占比图</w:t>
      </w:r>
    </w:p>
    <w:p>
      <w:r>
        <w:rPr>
          <w:rFonts w:ascii="微软雅黑" w:hAnsi="微软雅黑" w:eastAsia="微软雅黑"/>
          <w:sz w:val="22"/>
        </w:rPr>
        <w:t>右侧的环形饼图展示全网各类电源的装机占比：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煤电（蓝色）占比最大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水电、风电、光伏依次递减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鼠标悬停可查看各类电源的装机容量和百分比</w:t>
      </w:r>
    </w:p>
    <w:p>
      <w:pPr>
        <w:pStyle w:val="Heading2"/>
      </w:pPr>
      <w:r>
        <w:rPr>
          <w:rFonts w:ascii="微软雅黑" w:hAnsi="微软雅黑" w:eastAsia="微软雅黑"/>
          <w:color w:val="0050B3"/>
          <w:sz w:val="32"/>
        </w:rPr>
        <w:t>3.6 各省装机容量分布图</w:t>
      </w:r>
    </w:p>
    <w:p>
      <w:r>
        <w:rPr>
          <w:rFonts w:ascii="微软雅黑" w:hAnsi="微软雅黑" w:eastAsia="微软雅黑"/>
          <w:sz w:val="22"/>
        </w:rPr>
        <w:t>底部的堆叠柱状图展示各省各类电源装机容量：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每根柱子代表一个省份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柱子内不同颜色代表不同电源类型（火电、水电、核电、风电、光伏）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可直观比较各省装机结构差异</w:t>
      </w:r>
    </w:p>
    <w:p>
      <w:pPr>
        <w:pStyle w:val="Heading2"/>
      </w:pPr>
      <w:r>
        <w:rPr>
          <w:rFonts w:ascii="微软雅黑" w:hAnsi="微软雅黑" w:eastAsia="微软雅黑"/>
          <w:color w:val="0050B3"/>
          <w:sz w:val="32"/>
        </w:rPr>
        <w:t>3.7 系统公告</w:t>
      </w:r>
    </w:p>
    <w:p>
      <w:r>
        <w:rPr>
          <w:rFonts w:ascii="微软雅黑" w:hAnsi="微软雅黑" w:eastAsia="微软雅黑"/>
          <w:sz w:val="22"/>
        </w:rPr>
        <w:t>右下角的时间线展示系统最新公告，按时间倒序排列。每条公告包含标题和发布日期。</w:t>
      </w:r>
    </w:p>
    <w:p>
      <w:pPr>
        <w:jc w:val="center"/>
      </w:pPr>
      <w:r>
        <w:rPr>
          <w:color w:val="CCCCCC"/>
          <w:sz w:val="16"/>
        </w:rPr>
        <w:t>────────────────────────────────────────────────────────────</w:t>
      </w:r>
    </w:p>
    <w:p>
      <w:pPr>
        <w:pStyle w:val="Heading1"/>
      </w:pPr>
      <w:r>
        <w:rPr>
          <w:rFonts w:ascii="微软雅黑" w:hAnsi="微软雅黑" w:eastAsia="微软雅黑"/>
          <w:color w:val="0F1119"/>
          <w:sz w:val="40"/>
        </w:rPr>
        <w:t>第四章 工作台（房间管理）</w:t>
      </w:r>
    </w:p>
    <w:p>
      <w:pPr>
        <w:pStyle w:val="Heading2"/>
      </w:pPr>
      <w:r>
        <w:rPr>
          <w:rFonts w:ascii="微软雅黑" w:hAnsi="微软雅黑" w:eastAsia="微软雅黑"/>
          <w:color w:val="0050B3"/>
          <w:sz w:val="32"/>
        </w:rPr>
        <w:t>4.1 什么是"房间"</w:t>
      </w:r>
    </w:p>
    <w:p>
      <w:r>
        <w:rPr>
          <w:rFonts w:ascii="微软雅黑" w:hAnsi="微软雅黑" w:eastAsia="微软雅黑"/>
          <w:sz w:val="22"/>
        </w:rPr>
      </w:r>
      <w:r>
        <w:rPr>
          <w:rFonts w:ascii="微软雅黑" w:hAnsi="微软雅黑" w:eastAsia="微软雅黑"/>
          <w:b/>
          <w:sz w:val="22"/>
        </w:rPr>
        <w:t>房间是仿真训练的基本单位</w:t>
      </w:r>
      <w:r>
        <w:rPr>
          <w:rFonts w:ascii="微软雅黑" w:hAnsi="微软雅黑" w:eastAsia="微软雅黑"/>
          <w:sz w:val="22"/>
        </w:rPr>
        <w:t>。你可以把它理解为一个"虚拟教室"：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每个房间有独立的交易规则、参与成员和仿真场景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你必须先**加入一个房间**，才能进行中长期交易、现货报价等操作</w:t>
      </w:r>
    </w:p>
    <w:p>
      <w:pPr>
        <w:pStyle w:val="ListBullet"/>
      </w:pPr>
      <w:r>
        <w:rPr>
          <w:rFonts w:ascii="微软雅黑" w:hAnsi="微软雅黑" w:eastAsia="微软雅黑"/>
          <w:sz w:val="22"/>
        </w:rPr>
        <w:t>未加入房间时，访问需要房间的功能模块会被自动引导到工作台</w:t>
      </w:r>
    </w:p>
    <w:p>
      <w:pPr>
        <w:pStyle w:val="Heading2"/>
      </w:pPr>
      <w:r>
        <w:rPr>
          <w:rFonts w:ascii="微软雅黑" w:hAnsi="微软雅黑" w:eastAsia="微软雅黑"/>
          <w:color w:val="0050B3"/>
          <w:sz w:val="32"/>
        </w:rPr>
        <w:t>4.2 仪表盘概览</w:t>
      </w:r>
    </w:p>
    <w:p>
      <w:r>
        <w:rPr>
          <w:rFonts w:ascii="微软雅黑" w:hAnsi="微软雅黑" w:eastAsia="微软雅黑"/>
          <w:sz w:val="22"/>
        </w:rPr>
        <w:t>进入"工作台 → 仪表盘"后，你会看到：</w:t>
      </w:r>
    </w:p>
    <w:p>
      <w:pPr>
        <w:pStyle w:val="ListBullet"/>
      </w:pPr>
      <w:r>
        <w:rPr>
          <w:rFonts w:ascii="微软雅黑" w:hAnsi="微软雅黑" w:eastAsia="微软雅黑"/>
          <w:b/>
          <w:sz w:val="22"/>
        </w:rPr>
        <w:t>统计卡片</w:t>
      </w:r>
      <w:r>
        <w:rPr>
          <w:rFonts w:ascii="微软雅黑" w:hAnsi="微软雅黑" w:eastAsia="微软雅黑"/>
          <w:sz w:val="22"/>
        </w:rPr>
        <w:t>我的房间数、进行中、已完成、总成员数</w:t>
      </w:r>
    </w:p>
    <w:p>
      <w:pPr>
        <w:pStyle w:val="ListBullet"/>
      </w:pPr>
      <w:r>
        <w:rPr>
          <w:rFonts w:ascii="微软雅黑" w:hAnsi="微软雅黑" w:eastAsia="微软雅黑"/>
          <w:b/>
          <w:sz w:val="22"/>
        </w:rPr>
        <w:t>我的房间列表</w:t>
      </w:r>
      <w:r>
        <w:rPr>
          <w:rFonts w:ascii="微软雅黑" w:hAnsi="微软雅黑" w:eastAsia="微软雅黑"/>
          <w:sz w:val="22"/>
        </w:rPr>
        <w:t>表格展示所有房间，包括名称、描述、成员数、状态</w:t>
      </w:r>
    </w:p>
    <w:p>
      <w:pPr>
        <w:pStyle w:val="ListBullet"/>
      </w:pPr>
      <w:r>
        <w:rPr>
          <w:rFonts w:ascii="微软雅黑" w:hAnsi="微软雅黑" w:eastAsia="微软雅黑"/>
          <w:b/>
          <w:sz w:val="22"/>
        </w:rPr>
        <w:t>仿真进度</w:t>
      </w:r>
      <w:r>
        <w:rPr>
          <w:rFonts w:ascii="微软雅黑" w:hAnsi="微软雅黑" w:eastAsia="微软雅黑"/>
          <w:sz w:val="22"/>
        </w:rPr>
        <w:t>右侧进度条展示当前房间的7步仿真流程完成情况</w:t>
      </w:r>
    </w:p>
    <w:p>
      <w:pPr>
        <w:pStyle w:val="ListBullet"/>
      </w:pPr>
      <w:r>
        <w:rPr>
          <w:rFonts w:ascii="微软雅黑" w:hAnsi="微软雅黑" w:eastAsia="微软雅黑"/>
          <w:b/>
          <w:sz w:val="22"/>
        </w:rPr>
        <w:t>快捷操作</w:t>
      </w:r>
      <w:r>
        <w:rPr>
          <w:rFonts w:ascii="微软雅黑" w:hAnsi="微软雅黑" w:eastAsia="微软雅黑"/>
          <w:sz w:val="22"/>
        </w:rPr>
        <w:t>6个快捷卡片，一键跳转到核心功能</w:t>
      </w:r>
    </w:p>
    <w:p>
      <w:r>
        <w:rPr>
          <w:rFonts w:ascii="微软雅黑" w:hAnsi="微软雅黑" w:eastAsia="微软雅黑"/>
          <w:sz w:val="22"/>
        </w:rPr>
      </w:r>
      <w:r>
        <w:rPr>
          <w:rFonts w:ascii="微软雅黑" w:hAnsi="微软雅黑" w:eastAsia="微软雅黑"/>
          <w:b/>
          <w:sz w:val="22"/>
        </w:rPr>
        <w:t>房间状态说明</w:t>
      </w:r>
      <w:r>
        <w:rPr>
          <w:rFonts w:ascii="微软雅黑" w:hAnsi="微软雅黑" w:eastAsia="微软雅黑"/>
          <w:sz w:val="22"/>
        </w:rPr>
        <w:t>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  <w:shd w:val="clear" w:color="auto" w:fill="007AFF"/>
          </w:tcPr>
          <w:p>
            <w:r/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状态</w:t>
            </w:r>
          </w:p>
        </w:tc>
        <w:tc>
          <w:tcPr>
            <w:tcW w:type="dxa" w:w="4703"/>
            <w:shd w:val="clear" w:color="auto" w:fill="007AFF"/>
          </w:tcPr>
          <w:p>
            <w:r/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含义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微软雅黑" w:hAnsi="微软雅黑" w:eastAsia="微软雅黑"/>
                <w:sz w:val="20"/>
              </w:rPr>
              <w:t>进行中（绿色）</w:t>
            </w:r>
          </w:p>
        </w:tc>
        <w:tc>
          <w:tcPr>
            <w:tcW w:type="dxa" w:w="4703"/>
          </w:tcPr>
          <w:p>
            <w:r/>
            <w:r>
              <w:rPr>
                <w:rFonts w:ascii="微软雅黑" w:hAnsi="微软雅黑" w:eastAsia="微软雅黑"/>
                <w:sz w:val="20"/>
              </w:rPr>
              <w:t>房间已启动，仿真正在进行</w:t>
            </w:r>
          </w:p>
        </w:tc>
      </w:tr>
      <w:tr>
        <w:tc>
          <w:tcPr>
            <w:tcW w:type="dxa" w:w="4703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等待中（橙色）</w:t>
            </w:r>
          </w:p>
        </w:tc>
        <w:tc>
          <w:tcPr>
            <w:tcW w:type="dxa" w:w="4703"/>
            <w:shd w:val="clear" w:color="auto" w:fill="F7F8FA"/>
          </w:tcPr>
          <w:p>
            <w:r/>
            <w:r>
              <w:rPr>
                <w:rFonts w:ascii="微软雅黑" w:hAnsi="微软雅黑" w:eastAsia="微软雅黑"/>
                <w:sz w:val="20"/>
              </w:rPr>
              <w:t>房间已创建，等待开始</w:t>
            </w:r>
          </w:p>
        </w:tc>
      </w:tr>
      <w:tr>
        <w:tc>
          <w:tcPr>
            <w:tcW w:type="dxa" w:w="4703"/>
          </w:tcPr>
          <w:p>
            <w:r/>
            <w:r>
              <w:rPr>
                <w:rFonts w:ascii="微软雅黑" w:hAnsi="微软雅黑" w:eastAsia="微软雅黑"/>
                <w:sz w:val="20"/>
              </w:rPr>
              <w:t>已结束（灰色）</w:t>
            </w:r>
          </w:p>
        </w:tc>
        <w:tc>
          <w:tcPr>
            <w:tcW w:type="dxa" w:w="4703"/>
          </w:tcPr>
          <w:p>
            <w:r/>
            <w:r>
              <w:rPr>
                <w:rFonts w:ascii="微软雅黑" w:hAnsi="微软雅黑" w:eastAsia="微软雅黑"/>
                <w:sz w:val="20"/>
              </w:rPr>
              <w:t>仿真已完成</w:t>
            </w:r>
          </w:p>
        </w:tc>
      </w:tr>
    </w:tbl>
    <w:p/>
    <w:p>
      <w:pPr>
        <w:pStyle w:val="Heading2"/>
      </w:pPr>
      <w:r>
        <w:rPr>
          <w:rFonts w:ascii="微软雅黑" w:hAnsi="微软雅黑" w:eastAsia="微软雅黑"/>
          <w:color w:val="0050B3"/>
          <w:sz w:val="32"/>
        </w:rPr>
        <w:t>4.3 创建房间</w:t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在工作台页面，点击右上角"创建房间"按钮。</w:t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在弹出的表单中填写：</w:t>
      </w:r>
    </w:p>
    <w:p>
      <w:pPr>
        <w:pStyle w:val="ListBullet"/>
      </w:pPr>
      <w:r>
        <w:rPr>
          <w:rFonts w:ascii="微软雅黑" w:hAnsi="微软雅黑" w:eastAsia="微软雅黑"/>
          <w:b/>
          <w:sz w:val="22"/>
        </w:rPr>
        <w:t>房间名称</w:t>
      </w:r>
      <w:r>
        <w:rPr>
          <w:rFonts w:ascii="微软雅黑" w:hAnsi="微软雅黑" w:eastAsia="微软雅黑"/>
          <w:sz w:val="22"/>
        </w:rPr>
        <w:t>如"2024年春季电力市场仿真"</w:t>
      </w:r>
    </w:p>
    <w:p>
      <w:pPr>
        <w:pStyle w:val="ListBullet"/>
      </w:pPr>
      <w:r>
        <w:rPr>
          <w:rFonts w:ascii="微软雅黑" w:hAnsi="微软雅黑" w:eastAsia="微软雅黑"/>
          <w:b/>
          <w:sz w:val="22"/>
        </w:rPr>
        <w:t>房间描述</w:t>
      </w:r>
      <w:r>
        <w:rPr>
          <w:rFonts w:ascii="微软雅黑" w:hAnsi="微软雅黑" w:eastAsia="微软雅黑"/>
          <w:sz w:val="22"/>
        </w:rPr>
        <w:t>简要说明训练目标</w:t>
      </w:r>
    </w:p>
    <w:p>
      <w:pPr>
        <w:pStyle w:val="ListBullet"/>
      </w:pPr>
      <w:r>
        <w:rPr>
          <w:rFonts w:ascii="微软雅黑" w:hAnsi="微软雅黑" w:eastAsia="微软雅黑"/>
          <w:b/>
          <w:sz w:val="22"/>
        </w:rPr>
        <w:t>默认案例</w:t>
      </w:r>
      <w:r>
        <w:rPr>
          <w:rFonts w:ascii="微软雅黑" w:hAnsi="微软雅黑" w:eastAsia="微软雅黑"/>
          <w:sz w:val="22"/>
        </w:rPr>
        <w:t>选择一个标准案例作为模板</w:t>
      </w:r>
    </w:p>
    <w:p>
      <w:pPr>
        <w:pStyle w:val="ListBullet"/>
      </w:pPr>
      <w:r>
        <w:rPr>
          <w:rFonts w:ascii="微软雅黑" w:hAnsi="微软雅黑" w:eastAsia="微软雅黑"/>
          <w:b/>
          <w:sz w:val="22"/>
        </w:rPr>
        <w:t>最大成员数</w:t>
      </w:r>
      <w:r>
        <w:rPr>
          <w:rFonts w:ascii="微软雅黑" w:hAnsi="微软雅黑" w:eastAsia="微软雅黑"/>
          <w:sz w:val="22"/>
        </w:rPr>
        <w:t>1-100人</w:t>
      </w:r>
    </w:p>
    <w:p>
      <w:pPr>
        <w:pStyle w:val="ListBullet"/>
      </w:pPr>
      <w:r>
        <w:rPr>
          <w:rFonts w:ascii="微软雅黑" w:hAnsi="微软雅黑" w:eastAsia="微软雅黑"/>
          <w:b/>
          <w:sz w:val="22"/>
        </w:rPr>
        <w:t>仿真时长</w:t>
      </w:r>
      <w:r>
        <w:rPr>
          <w:rFonts w:ascii="微软雅黑" w:hAnsi="微软雅黑" w:eastAsia="微软雅黑"/>
          <w:sz w:val="22"/>
        </w:rPr>
        <w:t>1-30天</w:t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点击"创建房间"按钮。</w:t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创建成功后自动加入该房间，跳转回仪表盘。</w:t>
      </w:r>
    </w:p>
    <w:p>
      <w:pPr>
        <w:pStyle w:val="Heading2"/>
      </w:pPr>
      <w:r>
        <w:rPr>
          <w:rFonts w:ascii="微软雅黑" w:hAnsi="微软雅黑" w:eastAsia="微软雅黑"/>
          <w:color w:val="0050B3"/>
          <w:sz w:val="32"/>
        </w:rPr>
        <w:t>4.4 加入房间</w:t>
      </w:r>
    </w:p>
    <w:p>
      <w:r>
        <w:rPr>
          <w:rFonts w:ascii="微软雅黑" w:hAnsi="微软雅黑" w:eastAsia="微软雅黑"/>
          <w:sz w:val="22"/>
        </w:rPr>
      </w:r>
      <w:r>
        <w:rPr>
          <w:rFonts w:ascii="微软雅黑" w:hAnsi="微软雅黑" w:eastAsia="微软雅黑"/>
          <w:b/>
          <w:sz w:val="22"/>
        </w:rPr>
        <w:t>方式一：从列表加入</w:t>
      </w:r>
      <w:r>
        <w:rPr>
          <w:rFonts w:ascii="微软雅黑" w:hAnsi="微软雅黑" w:eastAsia="微软雅黑"/>
          <w:sz w:val="22"/>
        </w:rPr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在"我的房间"表格中，找到状态为"等待中"或"进行中"的房间。</w:t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点击该行右侧的"进入"按钮。</w:t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系统提示"加入成功"，当前房间标签显示在顶部栏。</w:t>
      </w:r>
    </w:p>
    <w:p>
      <w:r>
        <w:rPr>
          <w:rFonts w:ascii="微软雅黑" w:hAnsi="微软雅黑" w:eastAsia="微软雅黑"/>
          <w:sz w:val="22"/>
        </w:rPr>
      </w:r>
      <w:r>
        <w:rPr>
          <w:rFonts w:ascii="微软雅黑" w:hAnsi="微软雅黑" w:eastAsia="微软雅黑"/>
          <w:b/>
          <w:sz w:val="22"/>
        </w:rPr>
        <w:t>方式二：通过房间号加入</w:t>
      </w:r>
      <w:r>
        <w:rPr>
          <w:rFonts w:ascii="微软雅黑" w:hAnsi="微软雅黑" w:eastAsia="微软雅黑"/>
          <w:sz w:val="22"/>
        </w:rPr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点击"加入房间"按钮进入加入页面。</w:t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在"房间号"输入框中输入房间号。</w:t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点击"加入"按钮。</w:t>
      </w:r>
    </w:p>
    <w:p>
      <w:pPr>
        <w:pStyle w:val="Heading2"/>
      </w:pPr>
      <w:r>
        <w:rPr>
          <w:rFonts w:ascii="微软雅黑" w:hAnsi="微软雅黑" w:eastAsia="微软雅黑"/>
          <w:color w:val="0050B3"/>
          <w:sz w:val="32"/>
        </w:rPr>
        <w:t>4.5 仿真进度跟踪</w:t>
      </w:r>
    </w:p>
    <w:p>
      <w:r>
        <w:rPr>
          <w:rFonts w:ascii="微软雅黑" w:hAnsi="微软雅黑" w:eastAsia="微软雅黑"/>
          <w:sz w:val="22"/>
        </w:rPr>
        <w:t>在仪表盘右侧的"仿真进度"卡片中，以进度条形式展示7步仿真流程的完成情况：</w:t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交易规则设置 → ✅ 已完成</w:t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市场主体设置 → ✅ 已完成</w:t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场景信息设置 → ✅ 已完成</w:t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仿真市场设置 → 🔄 进行中（60%）</w:t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集中竞价出清 → ⏳ 待处理</w:t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成员持仓分配 → ⏳ 待处理</w:t>
      </w:r>
    </w:p>
    <w:p>
      <w:pPr>
        <w:pStyle w:val="ListNumber"/>
      </w:pPr>
      <w:r>
        <w:rPr>
          <w:rFonts w:ascii="微软雅黑" w:hAnsi="微软雅黑" w:eastAsia="微软雅黑"/>
          <w:sz w:val="22"/>
        </w:rPr>
        <w:t>现货市场出清 → ⏳ 待处理</w:t>
      </w:r>
    </w:p>
    <w:p>
      <w:r>
        <w:rPr>
          <w:rFonts w:ascii="微软雅黑" w:hAnsi="微软雅黑" w:eastAsia="微软雅黑"/>
          <w:sz w:val="22"/>
        </w:rPr>
        <w:t>绿色进度条表示已完成，蓝色进度条表示进行中。</w:t>
      </w:r>
    </w:p>
    <w:p>
      <w:pPr>
        <w:jc w:val="center"/>
      </w:pPr>
      <w:r>
        <w:rPr>
          <w:color w:val="CCCCCC"/>
          <w:sz w:val="16"/>
        </w:rPr>
        <w:t>────────────────────────────────────────────────────────────</w:t>
      </w:r>
    </w:p>
    <w:p>
      <w:pPr>
        <w:pStyle w:val="Heading1"/>
      </w:pPr>
      <w:r>
        <w:rPr>
          <w:rFonts w:ascii="微软雅黑" w:hAnsi="微软雅黑" w:eastAsia="微软雅黑"/>
          <w:color w:val="0F1119"/>
          <w:sz w:val="40"/>
        </w:rPr>
        <w:t>第五章 仿真流程（七步向导）</w:t>
      </w:r>
    </w:p>
    <w:p>
      <w:pPr>
        <w:pStyle w:val="Heading2"/>
      </w:pPr>
      <w:r>
        <w:rPr>
          <w:rFonts w:ascii="微软雅黑" w:hAnsi="微软雅黑" w:eastAsia="微软雅黑"/>
          <w:color w:val="0050B3"/>
          <w:sz w:val="32"/>
        </w:rPr>
        <w:t>5.1 流程总览</w:t>
      </w:r>
    </w:p>
    <w:p>
      <w:r>
        <w:rPr>
          <w:rFonts w:ascii="微软雅黑" w:hAnsi="微软雅黑" w:eastAsia="微软雅黑"/>
          <w:sz w:val="22"/>
        </w:rPr>
        <w:t>仿真流程是系统的核心模块，采用</w:t>
      </w:r>
      <w:r>
        <w:rPr>
          <w:rFonts w:ascii="微软雅黑" w:hAnsi="微软雅黑" w:eastAsia="微软雅黑"/>
          <w:b/>
          <w:sz w:val="22"/>
        </w:rPr>
        <w:t>七步向导式</w:t>
      </w:r>
      <w:r>
        <w:rPr>
          <w:rFonts w:ascii="微软雅黑" w:hAnsi="微软雅黑" w:eastAsia="微软雅黑"/>
          <w:sz w:val="22"/>
        </w:rPr>
        <w:t>设计，引导你从规则配置到最终出清：</w:t>
      </w:r>
    </w:p>
    <w:p>
      <w:r>
        <w:rPr>
          <w:rFonts w:ascii="微软雅黑" w:hAnsi="微软雅黑" w:eastAsia="微软雅黑"/>
          <w:sz w:val="22"/>
        </w:rPr>
        <w:t>交易规则设置 → 市场主体设置 → 场景信息设置 → 仿真市场设置</w:t>
      </w:r>
    </w:p>
    <w:p>
      <w:r>
        <w:rPr>
          <w:rFonts w:ascii="微软雅黑" w:hAnsi="微软雅黑" w:eastAsia="微软雅黑"/>
          <w:sz w:val="22"/>
        </w:rPr>
        <w:t>→ 集中竞价出清 → 成员持仓分配 → 现货市场出清 → 查看结果</w:t>
      </w:r>
    </w:p>
    <w:p>
      <w:pPr>
        <w:ind w:left="567"/>
        <w:shd w:val="clear" w:color="auto" w:fill="F0F0F0"/>
      </w:pPr>
      <w:r>
        <w:rPr>
          <w:rFonts w:ascii="Consolas" w:hAnsi="Consolas"/>
          <w:color w:val="333333"/>
          <w:sz w:val="18"/>
        </w:rPr>
        <w:br/>
        <w:t>每一步完成后，点击右下角"下一步"按钮进入下一步，或点击"上一步"返回修改。</w:t>
        <w:br/>
        <w:br/>
        <w:t>&gt; **前置条件**：必须先加入一个房间，且角色为 Root 或 RoomAdmin。</w:t>
        <w:br/>
        <w:br/>
        <w:t>### 5.2 第一步：交易规则设置</w:t>
        <w:br/>
        <w:br/>
        <w:t>**路径**：仿真流程 → 交易规则设置</w:t>
        <w:br/>
        <w:br/>
        <w:t>这是仿真的基础配置页面，决定市场"怎么玩"。</w:t>
        <w:br/>
        <w:br/>
        <w:t>**需要配置的参数**：</w:t>
        <w:br/>
        <w:br/>
        <w:t>| 参数 | 说明 | 推荐值 |</w:t>
        <w:br/>
        <w:t>|------|------|--------|</w:t>
        <w:br/>
        <w:t>| 市场模式 | 统一出清/节点边际/分区出清 | 统一出清（入门） |</w:t>
        <w:br/>
        <w:t>| 结算周期 | 小时/15分钟/日 | 15分钟（精细） |</w:t>
        <w:br/>
        <w:t>| 报价上限 | 最高允许报价（元/MWh） | 1500 |</w:t>
        <w:br/>
        <w:t>| 报价下限 | 最低允许报价（元/MWh） | 0 |</w:t>
        <w:br/>
        <w:t>| 容量补偿 | 每MW每日的容量补偿费用 | 300 |</w:t>
        <w:br/>
        <w:t>| 辅助服务类型 | 调频/备用/黑启动 | 勾选调频+备用 |</w:t>
        <w:br/>
        <w:t>| 交易品种 | 中长期/日前/实时/零售/辅助服务 | 全选 |</w:t>
        <w:br/>
        <w:br/>
        <w:t>**操作步骤**：</w:t>
        <w:br/>
        <w:t>1. 逐项设置上述参数。</w:t>
        <w:br/>
        <w:t>2. 点击"保存设置"按钮保存当前配置。</w:t>
        <w:br/>
        <w:t>3. 点击"下一步"进入市场主体设置。</w:t>
        <w:br/>
        <w:br/>
        <w:t>### 5.3 第二步：市场主体设置</w:t>
        <w:br/>
        <w:br/>
        <w:t>**路径**：仿真流程 → 市场主体设置</w:t>
        <w:br/>
        <w:br/>
        <w:t>在这里添加参与仿真的发电企业、售电公司和电力用户。</w:t>
        <w:br/>
        <w:br/>
        <w:t>**页面内容**：</w:t>
        <w:br/>
        <w:t>- **统计卡片**：总成员数、发电侧、用电侧、已注册</w:t>
        <w:br/>
        <w:t>- **成员列表表格**：展示所有已添加的市场主体</w:t>
        <w:br/>
        <w:br/>
        <w:t>**添加成员**：</w:t>
        <w:br/>
        <w:t>1. 点击右上角"添加成员"按钮。</w:t>
        <w:br/>
        <w:t>2. 在弹出的对话框中填写企业名称、类型、装机容量、所在省份等信息。</w:t>
        <w:br/>
        <w:t>3. 确认提交。</w:t>
        <w:br/>
        <w:br/>
        <w:t>**编辑/移除**：点击表格操作列的"编辑"或"移除"按钮。</w:t>
        <w:br/>
        <w:br/>
        <w:t>### 5.4 第三步：场景信息设置</w:t>
        <w:br/>
        <w:br/>
        <w:t>**路径**：仿真流程 → 场景信息设置</w:t>
        <w:br/>
        <w:br/>
        <w:t>配置仿真的电网和负荷场景参数。页面分为三个标签页：</w:t>
        <w:br/>
        <w:br/>
        <w:t>**① 负荷参数标签页**：</w:t>
        <w:br/>
        <w:t>- 最大负荷（MW）：如 78500</w:t>
        <w:br/>
        <w:t>- 最小负荷（MW）：如 45000</w:t>
        <w:br/>
        <w:t>- 负荷率（%）：如 82</w:t>
        <w:br/>
        <w:br/>
        <w:t>**② 电网参数标签页**：</w:t>
        <w:br/>
        <w:t>- 线路数量：如 120</w:t>
        <w:br/>
        <w:t>- 断面数量：如 15</w:t>
        <w:br/>
        <w:t>- 区域数量：如 5</w:t>
        <w:br/>
        <w:br/>
        <w:t>**③ 新能源参数标签页**：</w:t>
        <w:br/>
        <w:t>- 风电装机（MW）：如 92700</w:t>
        <w:br/>
        <w:t>- 光伏装机（MW）：如 83900</w:t>
        <w:br/>
        <w:t>- 新能源占比（%）：如 18.5</w:t>
        <w:br/>
        <w:br/>
        <w:t>&gt; **提示**：点击右上角"图形编辑"可进入可视化节点编辑器，以拖拽方式编辑电网拓扑。</w:t>
        <w:br/>
        <w:br/>
        <w:t>### 5.5 第四步：仿真市场设置</w:t>
        <w:br/>
        <w:br/>
        <w:t>**路径**：仿真流程 → 仿真市场设置</w:t>
        <w:br/>
        <w:br/>
        <w:t>配置参与仿真的各个交易品种。页面展示6个市场卡片：</w:t>
        <w:br/>
        <w:br/>
        <w:t>| 市场 | 说明 | 默认启用 |</w:t>
        <w:br/>
        <w:t>|------|------|----------|</w:t>
        <w:br/>
        <w:t>| 中长期市场 | 双边、集中竞价、挂牌 | ✅ |</w:t>
        <w:br/>
        <w:t>| 日前市场 | 日前报价与出清 | ✅ |</w:t>
        <w:br/>
        <w:t>| 实时市场 | 实时报价与滚动出清 | ✅ |</w:t>
        <w:br/>
        <w:t>| 零售市场 | 售电与用户合约 | ❌ |</w:t>
        <w:br/>
        <w:t>| 辅助服务 | 调频与备用 | ✅ |</w:t>
        <w:br/>
        <w:t>| 容量市场 | 容量补偿与竞价 | ❌ |</w:t>
        <w:br/>
        <w:br/>
        <w:t>**操作**：</w:t>
        <w:br/>
        <w:t>1. 点击卡片可展开详细配置。</w:t>
        <w:br/>
        <w:t>2. 设置出清方式（统一出清/节点出清）和交易周期（小时/15分钟）。</w:t>
        <w:br/>
        <w:t>3. 通过右上角开关启用或禁用该市场。</w:t>
        <w:br/>
        <w:br/>
        <w:t>### 5.6 第五步：集中竞价出清</w:t>
        <w:br/>
        <w:br/>
        <w:t>**路径**：仿真流程 → 集中竞价出清</w:t>
        <w:br/>
        <w:br/>
        <w:t>执行中长期集中竞价交易出清。</w:t>
        <w:br/>
        <w:br/>
        <w:t>**页面内容**：</w:t>
        <w:br/>
        <w:t>- **统计卡片**：出清价格、出清电量、成交买方数、成交卖方数</w:t>
        <w:br/>
        <w:t>- **供需出清曲线图**：左侧是买方曲线（绿色），右侧是卖方曲线（红色），两条曲线交点即为出清价格</w:t>
        <w:br/>
        <w:t>- **出清结果面板**：右侧展示出清价格、电量、成交方数等</w:t>
        <w:br/>
        <w:br/>
        <w:t>**执行出清**：</w:t>
        <w:br/>
        <w:t>1. 检查供需曲线是否正常。</w:t>
        <w:br/>
        <w:t>2. 点击右上角"执行出清"按钮。</w:t>
        <w:br/>
        <w:t>3. 系统显示"正在执行出清计算..."加载提示。</w:t>
        <w:br/>
        <w:t>4. 约2秒后提示"出清完成!"，统计卡片和曲线更新为最新结果。</w:t>
        <w:br/>
        <w:br/>
        <w:t>### 5.7 第六步：成员持仓分配</w:t>
        <w:br/>
        <w:br/>
        <w:t>**路径**：仿真流程 → 成员持仓分配</w:t>
        <w:br/>
        <w:br/>
        <w:t>将中长期合约的持仓分配到各个市场成员。</w:t>
        <w:br/>
        <w:br/>
        <w:t>**操作**：</w:t>
        <w:br/>
        <w:t>1. 表格中每行代表一个市场成员。</w:t>
        <w:br/>
        <w:t>2. 在"中长期持仓"和"现货持仓"列中直接输入数值。</w:t>
        <w:br/>
        <w:t>3. "净持仓"列自动计算（中长期 - 现货）。</w:t>
        <w:br/>
        <w:t>4. "分配比例"列自动显示该成员占总持仓的百分比。</w:t>
        <w:br/>
        <w:br/>
        <w:t>### 5.8 第七步：现货市场出清</w:t>
        <w:br/>
        <w:br/>
        <w:t>**路径**：仿真流程 → 现货市场出清</w:t>
        <w:br/>
        <w:br/>
        <w:t>执行日前和实时现货市场的出清计算。</w:t>
        <w:br/>
        <w:br/>
        <w:t>**页面内容**：</w:t>
        <w:br/>
        <w:t>- **统计卡片**：日前均价、实时均价、总成交电量、出清状态</w:t>
        <w:br/>
        <w:t>- **出清结果图**：出清价格曲线（橙色）+ 负荷曲线（蓝色）+ 发电曲线（绿色）</w:t>
        <w:br/>
        <w:t>- **出清统计面板**：日前均价、实时均价、总电量、边际机组、出清状态</w:t>
        <w:br/>
        <w:br/>
        <w:t>**执行出清**：</w:t>
        <w:br/>
        <w:t>1. 点击右上角"执行出清"按钮。</w:t>
        <w:br/>
        <w:t>2. 系统显示"正在执行现货出清..."加载提示。</w:t>
        <w:br/>
        <w:t>3. 约2秒后提示"现货出清完成!"。</w:t>
        <w:br/>
        <w:t>4. 点击"查看结果"跳转到交易结果页面。</w:t>
        <w:br/>
        <w:br/>
        <w:t>---</w:t>
        <w:br/>
        <w:br/>
        <w:t>## 第六章 信息披露</w:t>
        <w:br/>
        <w:br/>
        <w:t>### 6.1 市场总览</w:t>
        <w:br/>
        <w:br/>
        <w:t>**路径**：信息披露 → 市场总览</w:t>
        <w:br/>
        <w:br/>
        <w:t>这是信息披露模块的核心页面，集中展示全网电力市场关键数据。</w:t>
        <w:br/>
        <w:br/>
        <w:t>**页面内容**（自上而下）：</w:t>
        <w:br/>
        <w:br/>
        <w:t>1. **统计卡片**：总装机容量、今日最大负荷、现货均价、新能源占比</w:t>
        <w:br/>
        <w:t>2. **发电结构占比图**（环形饼图）：煤电、气电、核电、水电、风电、光伏、生物质、储能的装机占比</w:t>
        <w:br/>
        <w:t>3. **年度装机容量变化图**（堆叠柱状图）：2018-2024年各类电源装机变化趋势</w:t>
        <w:br/>
        <w:t>4. **各省装机容量分布图**（堆叠柱状图）：15个省份的装机结构，支持省份筛选</w:t>
        <w:br/>
        <w:t>5. **系统负荷预测图**（双折线图）：预测负荷 vs 实际负荷，24小时曲线</w:t>
        <w:br/>
        <w:t>6. **现货市场价格图**（面积折线图）：24小时现货价格走势，含均价参考线</w:t>
        <w:br/>
        <w:t>7. **新能源出力预测图**（双面积折线图）：风电出力 + 光伏出力</w:t>
        <w:br/>
        <w:t>8. **正负备用需求图**（双柱状图）：24小时正备用和负备用需求</w:t>
        <w:br/>
        <w:br/>
        <w:t>**交互操作**：</w:t>
        <w:br/>
        <w:t>- 右上角可切换"今日/昨日/本周"数据</w:t>
        <w:br/>
        <w:t>- 各省装机图支持按省份筛选</w:t>
        <w:br/>
        <w:t>- 鼠标悬停图表可查看精确数值</w:t>
        <w:br/>
        <w:br/>
        <w:t>### 6.2 机组信息</w:t>
        <w:br/>
        <w:br/>
        <w:t>**路径**：信息披露 → 机组信息</w:t>
        <w:br/>
        <w:br/>
        <w:t>以表格形式展示全网所有发电机组的详细信息。</w:t>
        <w:br/>
        <w:br/>
        <w:t>**表格列**：</w:t>
        <w:br/>
        <w:t>| 列名 | 说明 |</w:t>
        <w:br/>
        <w:t>|------|------|</w:t>
        <w:br/>
        <w:t>| 编号 | 机组唯一编码，如 GJ-0001 |</w:t>
        <w:br/>
        <w:t>| 机组名称 | 如"煤电机组1号" |</w:t>
        <w:br/>
        <w:t>| 类型 | 煤电/气电/核电/水电/风电/光伏/储能 |</w:t>
        <w:br/>
        <w:t>| 装机容量 | 额定功率（MW） |</w:t>
        <w:br/>
        <w:t>| 所在省份 | 如"广东" |</w:t>
        <w:br/>
        <w:t>| 电压等级 | 220kV/500kV/750kV/1000kV |</w:t>
        <w:br/>
        <w:t>| 最大出力 | 机组可达最大出力（MW） |</w:t>
        <w:br/>
        <w:t>| 最小出力 | 机组技术最小出力（MW） |</w:t>
        <w:br/>
        <w:t>| 爬坡率 | 每分钟可调节的出力变化量（MW/min） |</w:t>
        <w:br/>
        <w:t>| 状态 | 运行/停机 |</w:t>
        <w:br/>
        <w:br/>
        <w:t>**操作**：</w:t>
        <w:br/>
        <w:t>- 顶部搜索框：输入名称或编号筛选</w:t>
        <w:br/>
        <w:t>- 类型下拉：按机组类型筛选</w:t>
        <w:br/>
        <w:t>- 点击"刷新"按钮刷新数据</w:t>
        <w:br/>
        <w:t>- 点击"新增"按钮添加新机组</w:t>
        <w:br/>
        <w:br/>
        <w:t>### 6.3 新能源出力预测</w:t>
        <w:br/>
        <w:br/>
        <w:t>**路径**：信息披露 → 新能源出力预测</w:t>
        <w:br/>
        <w:br/>
        <w:t>展示风电和光伏的24小时出力预测曲线。</w:t>
        <w:br/>
        <w:br/>
        <w:t>**统计卡片**：风电装机、光伏装机、风电最大出力、光伏最大出力</w:t>
        <w:br/>
        <w:br/>
        <w:t>**图表**：</w:t>
        <w:br/>
        <w:t>- 蓝色面积曲线 = 风电出力（通常夜间较高）</w:t>
        <w:br/>
        <w:t>- 橙色面积曲线 = 光伏出力（仅白天6:00-18:00有出力，中午最高）</w:t>
        <w:br/>
        <w:br/>
        <w:t>### 6.4 正负备用需求</w:t>
        <w:br/>
        <w:br/>
        <w:t>**路径**：信息披露 → 正负备用需求</w:t>
        <w:br/>
        <w:br/>
        <w:t>展示电网24小时的备用容量需求。</w:t>
        <w:br/>
        <w:br/>
        <w:t>- **正备用**（绿色柱）：可增加的发电能力，用于应对负荷突增</w:t>
        <w:br/>
        <w:t>- **负备用**（蓝色柱）：可减少的发电能力，用于应对负荷突降</w:t>
        <w:br/>
        <w:br/>
        <w:t>### 6.5 电网运行参数</w:t>
        <w:br/>
        <w:br/>
        <w:t>**路径**：信息披露 → 电网运行参数</w:t>
        <w:br/>
        <w:br/>
        <w:t>表格展示主要输电线路信息，包括线路编号、名称、电压等级、长度、输送容量、起止变电站、状态。</w:t>
        <w:br/>
        <w:br/>
        <w:t>### 6.6 主要断面参数</w:t>
        <w:br/>
        <w:br/>
        <w:t>**路径**：信息披露 → 主要断面参数</w:t>
        <w:br/>
        <w:br/>
        <w:t>展示电网关键输电断面的限额和使用情况。</w:t>
        <w:br/>
        <w:br/>
        <w:t>**关键列**：</w:t>
        <w:br/>
        <w:t>- 限额（MW）：断面最大允许传输功率</w:t>
        <w:br/>
        <w:t>- 当前潮流（MW）：实际传输功率</w:t>
        <w:br/>
        <w:t>- 利用率（%）：当前潮流/限额，超过100%为"越限"</w:t>
        <w:br/>
        <w:br/>
        <w:t>### 6.7 系统负荷预测</w:t>
        <w:br/>
        <w:br/>
        <w:t>**路径**：信息披露 → 系统负荷预测</w:t>
        <w:br/>
        <w:br/>
        <w:t>展示24小时负荷预测曲线和实际负荷曲线。</w:t>
        <w:br/>
        <w:br/>
        <w:t>**统计卡片**：最大负荷、最小负荷、平均负荷、负荷率</w:t>
        <w:br/>
        <w:br/>
        <w:t>### 6.8 联络线计划</w:t>
        <w:br/>
        <w:br/>
        <w:t>**路径**：信息披露 → 联络线计划</w:t>
        <w:br/>
        <w:br/>
        <w:t>展示省间联络线的电力交换计划。</w:t>
        <w:br/>
        <w:br/>
        <w:t>上半部分是柱状图（计划交换 vs 实际交换），下半部分是详细表格，包含偏差率计算。</w:t>
        <w:br/>
        <w:br/>
        <w:t>### 6.9 气象数据</w:t>
        <w:br/>
        <w:br/>
        <w:t>**路径**：信息披露 → 气象数据（隐藏菜单，需直接访问 `/info/weather-overview`）</w:t>
        <w:br/>
        <w:br/>
        <w:t>展示温度变化曲线和风速/辐照度曲线，用于辅助理解新能源出力变化。</w:t>
        <w:br/>
        <w:br/>
        <w:t>---</w:t>
        <w:br/>
        <w:br/>
        <w:t>## 第七章 信息维护（市场主体）</w:t>
        <w:br/>
        <w:br/>
        <w:t>### 7.1 概述与市场主体类型</w:t>
        <w:br/>
        <w:br/>
        <w:t>信息维护模块用于录入和管理参与仿真的各类市场主体的基本信息。系统支持 **13 种市场主体类型**：</w:t>
        <w:br/>
        <w:br/>
        <w:t>| 类型 | 菜单名称 | 市场角色 |</w:t>
        <w:br/>
        <w:t>|------|----------|----------|</w:t>
        <w:br/>
        <w:t>| 煤电 | 煤电信息维护 | 发电侧 |</w:t>
        <w:br/>
        <w:t>| 燃气 | 燃气信息维护 | 发电侧 |</w:t>
        <w:br/>
        <w:t>| 核电 | 核电信息维护 | 发电侧 |</w:t>
        <w:br/>
        <w:t>| 生物质 | 生物质信息维护 | 发电侧 |</w:t>
        <w:br/>
        <w:t>| 风电 | 风电信息维护 | 发电侧 |</w:t>
        <w:br/>
        <w:t>| 光伏 | 光伏信息维护 | 发电侧 |</w:t>
        <w:br/>
        <w:t>| 静态负荷 | 静态负荷信息维护 | 用电侧 |</w:t>
        <w:br/>
        <w:t>| 电化学储能 | 电化学储能信息维护 | 发电侧 |</w:t>
        <w:br/>
        <w:t>| 抽水蓄能 | 抽水蓄能信息维护 | 发电侧 |</w:t>
        <w:br/>
        <w:t>| 发电型虚拟电厂 | 发电型虚拟电厂信息维护 | 发电侧 |</w:t>
        <w:br/>
        <w:t>| 负荷型虚拟电厂 | 负荷型虚拟电厂信息维护 | 用电侧 |</w:t>
        <w:br/>
        <w:t>| 售电公司 | 售电公司信息维护 | 用电侧 |</w:t>
        <w:br/>
        <w:t>| 电力用户 | 电力用户信息维护 | 用电侧 |</w:t>
        <w:br/>
        <w:br/>
        <w:t>### 7.2 煤电信息维护</w:t>
        <w:br/>
        <w:br/>
        <w:t>**路径**：信息维护 → 煤电信息维护</w:t>
        <w:br/>
        <w:br/>
        <w:t>以煤电为例说明操作流程（其他类型操作完全相同）。</w:t>
        <w:br/>
        <w:br/>
        <w:t>**页面结构**：</w:t>
        <w:br/>
        <w:t>- 顶部：标题"煤电信息维护" + 描述 + "新增"和"刷新"按钮</w:t>
        <w:br/>
        <w:t>- 搜索栏：输入关键字搜索企业名称或编号</w:t>
        <w:br/>
        <w:t>- 数据表格：展示所有煤电企业信息</w:t>
        <w:br/>
        <w:br/>
        <w:t>**表格列**：</w:t>
        <w:br/>
        <w:t>| 列名 | 说明 |</w:t>
        <w:br/>
        <w:t>|------|------|</w:t>
        <w:br/>
        <w:t>| 编号 | 如 COAL-001 |</w:t>
        <w:br/>
        <w:t>| 企业名称 | 如"煤电信息维护企业1" |</w:t>
        <w:br/>
        <w:t>| 类型 | 固定为"coal" |</w:t>
        <w:br/>
        <w:t>| 装机/用电容量 | 该企业的装机容量（MW） |</w:t>
        <w:br/>
        <w:t>| 所在省份 | 如"广东" |</w:t>
        <w:br/>
        <w:t>| 联系电话 | 企业联系电话 |</w:t>
        <w:br/>
        <w:t>| 市场角色 | 发电侧（绿色标签）或用电侧（橙色标签） |</w:t>
        <w:br/>
        <w:t>| 状态 | 已注册（绿色）或待审核（橙色） |</w:t>
        <w:br/>
        <w:br/>
        <w:t>### 7.3 风电信息维护</w:t>
        <w:br/>
        <w:br/>
        <w:t>操作与煤电完全相同，区别在于：</w:t>
        <w:br/>
        <w:t>- 类型显示为"wind"</w:t>
        <w:br/>
        <w:t>- 企业名称为"风电信息维护企业X"</w:t>
        <w:br/>
        <w:t>- 装机容量通常较小（几十到几百MW）</w:t>
        <w:br/>
        <w:br/>
        <w:t>### 7.4 光伏信息维护</w:t>
        <w:br/>
        <w:br/>
        <w:t>操作与煤电完全相同，区别在于类型显示为"solar"。</w:t>
        <w:br/>
        <w:br/>
        <w:t>### 7.5 其他类型维护</w:t>
        <w:br/>
        <w:br/>
        <w:t>其余10种市场主体类型的操作方式完全一致，只是类型标签和默认数据不同。请参照7.2节的操作说明。</w:t>
        <w:br/>
        <w:br/>
        <w:t>### 7.6 通用操作：搜索、新增、编辑、删除</w:t>
        <w:br/>
        <w:br/>
        <w:t>以下操作适用于所有市场主体信息维护页面：</w:t>
        <w:br/>
        <w:br/>
        <w:t>**搜索**：</w:t>
        <w:br/>
        <w:t>1. 在顶部搜索框中输入关键字（企业名称或编号的一部分）。</w:t>
        <w:br/>
        <w:t>2. 点击搜索按钮或按回车键。</w:t>
        <w:br/>
        <w:t>3. 表格自动筛选匹配的记录。</w:t>
        <w:br/>
        <w:br/>
        <w:t>**新增**：</w:t>
        <w:br/>
        <w:t>1. 点击右上角"新增"按钮。</w:t>
        <w:br/>
        <w:t>2. 在弹出的对话框中填写企业信息。</w:t>
        <w:br/>
        <w:t>3. 点击确定保存。</w:t>
        <w:br/>
        <w:br/>
        <w:t>**编辑**：</w:t>
        <w:br/>
        <w:t>1. 找到要修改的记录。</w:t>
        <w:br/>
        <w:t>2. 点击操作列的"编辑"按钮。</w:t>
        <w:br/>
        <w:t>3. 在弹出的对话框中修改信息。</w:t>
        <w:br/>
        <w:t>4. 点击确定保存。</w:t>
        <w:br/>
        <w:br/>
        <w:t>**删除**：</w:t>
        <w:br/>
        <w:t>1. 找到要删除的记录。</w:t>
        <w:br/>
        <w:t>2. 点击操作列的"删除"按钮。</w:t>
        <w:br/>
        <w:t>3. 在确认对话框中点击"确定"。</w:t>
        <w:br/>
        <w:br/>
        <w:t>---</w:t>
        <w:br/>
        <w:br/>
        <w:t>## 第八章 中长期交易</w:t>
        <w:br/>
        <w:br/>
        <w:t>### 8.1 双边合约</w:t>
        <w:br/>
        <w:br/>
        <w:t>**路径**：中长期交易 → 双边合约</w:t>
        <w:br/>
        <w:br/>
        <w:t>双边合约是买卖双方自行协商签订的电力合约。</w:t>
        <w:br/>
        <w:br/>
        <w:t>**统计卡片**：合约总数、已签订数、总电量、均价</w:t>
        <w:br/>
        <w:br/>
        <w:t>**合约列表表格**：</w:t>
        <w:br/>
        <w:t>| 列名 | 说明 |</w:t>
        <w:br/>
        <w:t>|------|------|</w:t>
        <w:br/>
        <w:t>| 合约编号 | 如 C0001 |</w:t>
        <w:br/>
        <w:t>| 交易类型 | 双边协商/集中竞价/挂牌交易/滚动撮合 |</w:t>
        <w:br/>
        <w:t>| 购方 | 买方企业名称 |</w:t>
        <w:br/>
        <w:t>| 售方 | 卖方企业名称 |</w:t>
        <w:br/>
        <w:t>| 电量(MWh) | 合约电量 |</w:t>
        <w:br/>
        <w:t>| 价格(元/MWh) | 合约价格 |</w:t>
        <w:br/>
        <w:t>| 开始日期 | 合约生效日 |</w:t>
        <w:br/>
        <w:t>| 结束日期 | 合约到期日 |</w:t>
        <w:br/>
        <w:t>| 状态 | 已签订（绿色）/ 待签订（橙色） |</w:t>
        <w:br/>
        <w:br/>
        <w:t>**新建合约**：</w:t>
        <w:br/>
        <w:t>1. 点击右上角"新建合约"按钮。</w:t>
        <w:br/>
        <w:t>2. 在弹出的对话框中填写：</w:t>
        <w:br/>
        <w:t xml:space="preserve">   - 购方：买方企业名称</w:t>
        <w:br/>
        <w:t xml:space="preserve">   - 售方：卖方企业名称</w:t>
        <w:br/>
        <w:t xml:space="preserve">   - 电量(MWh)：合约电量</w:t>
        <w:br/>
        <w:t xml:space="preserve">   - 价格(元/MWh)：协商价格</w:t>
        <w:br/>
        <w:t xml:space="preserve">   - 开始日期和结束日期</w:t>
        <w:br/>
        <w:t>3. 点击确定创建合约。</w:t>
        <w:br/>
        <w:br/>
        <w:t>### 8.2 挂牌摘牌</w:t>
        <w:br/>
        <w:br/>
        <w:t>**路径**：中长期交易 → 挂牌摘牌</w:t>
        <w:br/>
        <w:br/>
        <w:t>挂牌交易模式：一方挂出买卖意向，另一方摘牌成交。</w:t>
        <w:br/>
        <w:br/>
        <w:t>**两个标签页**：</w:t>
        <w:br/>
        <w:t>- **挂牌中**：当前正在挂牌的买卖意向，可点击"摘牌"按钮成交</w:t>
        <w:br/>
        <w:t>- **已成交**：历史成交记录</w:t>
        <w:br/>
        <w:br/>
        <w:t>**挂牌信息**：</w:t>
        <w:br/>
        <w:t>| 列名 | 说明 |</w:t>
        <w:br/>
        <w:t>|------|------|</w:t>
        <w:br/>
        <w:t>| 方向 | 买入（绿色）/ 卖出（红色） |</w:t>
        <w:br/>
        <w:t>| 主体 | 挂牌方企业名称 |</w:t>
        <w:br/>
        <w:t>| 电量(MWh) | 挂牌电量 |</w:t>
        <w:br/>
        <w:t>| 价格(元/MWh) | 挂牌价格 |</w:t>
        <w:br/>
        <w:t>| 挂牌时间 | 挂牌时间 |</w:t>
        <w:br/>
        <w:br/>
        <w:t>**摘牌操作**：</w:t>
        <w:br/>
        <w:t>1. 在"挂牌中"标签页找到合适的挂牌。</w:t>
        <w:br/>
        <w:t>2. 点击操作列的"摘牌"按钮。</w:t>
        <w:br/>
        <w:t>3. 系统自动匹配成交，记录移至"已成交"标签页。</w:t>
        <w:br/>
        <w:br/>
        <w:t>### 8.3 集中竞价</w:t>
        <w:br/>
        <w:br/>
        <w:t>**路径**：中长期交易 → 集中竞价</w:t>
        <w:br/>
        <w:br/>
        <w:t>所有买方和卖方同时报价，系统统一撮合出清。</w:t>
        <w:br/>
        <w:br/>
        <w:t>**供需出清曲线图**：</w:t>
        <w:br/>
        <w:t>- 横轴：电量（MWh）</w:t>
        <w:br/>
        <w:t>- 纵轴：价格（元/MWh）</w:t>
        <w:br/>
        <w:t>- 绿色曲线 = 买方曲线（价格从高到低排列）</w:t>
        <w:br/>
        <w:t>- 红色曲线 = 卖方曲线（价格从低到高排列）</w:t>
        <w:br/>
        <w:t>- 两条曲线交点 = 出清价格和出清电量</w:t>
        <w:br/>
        <w:t>- 蓝色虚线 = 出清价格水平线</w:t>
        <w:br/>
        <w:br/>
        <w:t>**出清结果面板**（右侧）：</w:t>
        <w:br/>
        <w:t>- 出清价格</w:t>
        <w:br/>
        <w:t>- 出清电量</w:t>
        <w:br/>
        <w:t>- 成交买方数</w:t>
        <w:br/>
        <w:t>- 成交卖方数</w:t>
        <w:br/>
        <w:t>- 市场均价</w:t>
        <w:br/>
        <w:br/>
        <w:t>### 8.4 滚动撮合</w:t>
        <w:br/>
        <w:br/>
        <w:t>**路径**：中长期交易 → 滚动撮合</w:t>
        <w:br/>
        <w:br/>
        <w:t>持续进行的撮合交易，类似股票交易盘口。</w:t>
        <w:br/>
        <w:br/>
        <w:t>**三栏布局**：</w:t>
        <w:br/>
        <w:t>- **左栏 - 买盘**：从高到低排列的买单，价格绿色</w:t>
        <w:br/>
        <w:t>- **中栏 - 最新成交**：最新成交价、涨跌幅、最高/最低/成交量</w:t>
        <w:br/>
        <w:t>- **右栏 - 卖盘**：从低到高排列的卖单，价格红色</w:t>
        <w:br/>
        <w:br/>
        <w:t>**成交记录表格**（底部）：展示最近的成交明细，包括时间、价格、电量、买方、卖方。</w:t>
        <w:br/>
        <w:br/>
        <w:t>### 8.5 我的持仓</w:t>
        <w:br/>
        <w:br/>
        <w:t>**路径**：中长期交易 → 我的持仓</w:t>
        <w:br/>
        <w:br/>
        <w:t>查看当前持有的中长期和现货合约持仓。</w:t>
        <w:br/>
        <w:br/>
        <w:t>**统计卡片**：总持仓、中长期持仓、现货持仓、净持仓</w:t>
        <w:br/>
        <w:br/>
        <w:t>**持仓分解曲线图**（堆叠柱状图）：</w:t>
        <w:br/>
        <w:t>- 蓝色 = 中长期持仓</w:t>
        <w:br/>
        <w:t>- 绿色 = 现货持仓</w:t>
        <w:br/>
        <w:t>- 24小时分解</w:t>
        <w:br/>
        <w:br/>
        <w:t>**持仓明细表格**：列出各类型合约的持仓详情。</w:t>
        <w:br/>
        <w:br/>
        <w:t>---</w:t>
        <w:br/>
        <w:br/>
        <w:t>## 第九章 省内现货交易</w:t>
        <w:br/>
        <w:br/>
        <w:t>### 9.1 日前市场交易</w:t>
        <w:br/>
        <w:br/>
        <w:t>**路径**：省内现货交易 → 日前市场交易</w:t>
        <w:br/>
        <w:br/>
        <w:t>日前市场是提前一天报价并出清的现货市场。</w:t>
        <w:br/>
        <w:br/>
        <w:t>**统计卡片**：出清均价、总成交量、最高价、最低价</w:t>
        <w:br/>
        <w:br/>
        <w:t>**出清结果图**：</w:t>
        <w:br/>
        <w:t>- 橙色面积曲线 = 出清价格（左Y轴，元/MWh）</w:t>
        <w:br/>
        <w:t>- 蓝色曲线 = 总负荷（右Y轴，MW）</w:t>
        <w:br/>
        <w:t>- 绿色曲线 = 总发电（右Y轴，MW）</w:t>
        <w:br/>
        <w:br/>
        <w:t>**出清统计面板**（右侧）：</w:t>
        <w:br/>
        <w:t>- 统一出清价</w:t>
        <w:br/>
        <w:t>- 总成交电量</w:t>
        <w:br/>
        <w:t>- 边际机组（决定价格的最后一台机组）</w:t>
        <w:br/>
        <w:t>- 负荷裕度</w:t>
        <w:br/>
        <w:t>- 备用充足率</w:t>
        <w:br/>
        <w:br/>
        <w:t>**提交日前报价**：</w:t>
        <w:br/>
        <w:t>1. 点击右上角"提交报价"按钮。</w:t>
        <w:br/>
        <w:t>2. 在弹出的对话框中，为每个时段填写报价段：</w:t>
        <w:br/>
        <w:t xml:space="preserve">   - 段1价格、段1电量</w:t>
        <w:br/>
        <w:t xml:space="preserve">   - 段2价格、段2电量</w:t>
        <w:br/>
        <w:t>3. 点击确定提交报价。</w:t>
        <w:br/>
        <w:br/>
        <w:t>### 9.2 实时市场交易</w:t>
        <w:br/>
        <w:br/>
        <w:t>**路径**：省内现货交易 → 实时市场交易</w:t>
        <w:br/>
        <w:br/>
        <w:t>实时市场是当天进行的滚动出清，用于修正日前计划的偏差。</w:t>
        <w:br/>
        <w:br/>
        <w:t>**统计卡片**：当前价格、今日均价、最高价、最低价</w:t>
        <w:br/>
        <w:br/>
        <w:t>**实时出清价格图**：红色面积曲线展示24小时实时价格走势。</w:t>
        <w:br/>
        <w:br/>
        <w:t>### 9.3 阶梯报价组件</w:t>
        <w:br/>
        <w:br/>
        <w:t>**路径**：省内现货交易 → 阶梯报价组件（隐藏页面）</w:t>
        <w:br/>
        <w:br/>
        <w:t>阶梯报价是现货市场常用的报价方式，将报价分为多个价格段。</w:t>
        <w:br/>
        <w:br/>
        <w:t>**操作**：</w:t>
        <w:br/>
        <w:t>1. 在表格中设置每个报价段的**价格**和**电量**。</w:t>
        <w:br/>
        <w:t>2. 可点击"添加报价段"增加段数。</w:t>
        <w:br/>
        <w:t>3. 可点击"删除"移除某个段。</w:t>
        <w:br/>
        <w:t>4. 下方实时预览报价曲线（阶梯状折线图）。</w:t>
        <w:br/>
        <w:br/>
        <w:t>---</w:t>
        <w:br/>
        <w:br/>
        <w:t>## 第十章 零售市场交易</w:t>
        <w:br/>
        <w:br/>
        <w:t>### 10.1 合约签订</w:t>
        <w:br/>
        <w:br/>
        <w:t>**路径**：零售市场 → 合约签订</w:t>
        <w:br/>
        <w:br/>
        <w:t>管理售电公司与电力用户之间的零售合约。</w:t>
        <w:br/>
        <w:br/>
        <w:t>**表格列**：合约编号、类型（零售合约/代理购电/双边协商）、购方、售方、电量、价格、起止日期、状态。</w:t>
        <w:br/>
        <w:br/>
        <w:t>### 10.2 实际用电</w:t>
        <w:br/>
        <w:br/>
        <w:t>**路径**：零售市场 → 实际用电</w:t>
        <w:br/>
        <w:br/>
        <w:t>对比用户的合约电量与实际用电量，计算偏差。</w:t>
        <w:br/>
        <w:br/>
        <w:t>**统计卡片**：合约总量、实际总量、总偏差、平均偏差率</w:t>
        <w:br/>
        <w:br/>
        <w:t>**图表**：柱状图对比24小时合约电量与实际用电</w:t>
        <w:br/>
        <w:br/>
        <w:t>**表格**：每个用户的合约电量、实际用电、偏差量、偏差率、状态</w:t>
        <w:br/>
        <w:br/>
        <w:t>### 10.3 合约结算</w:t>
        <w:br/>
        <w:br/>
        <w:t>**路径**：零售市场 → 合约结算</w:t>
        <w:br/>
        <w:br/>
        <w:t>生成零售合约的结算账单。</w:t>
        <w:br/>
        <w:br/>
        <w:t>**统计卡片**：结算总额、已结算、待结算、账单数</w:t>
        <w:br/>
        <w:br/>
        <w:t>**表格**：结算编号、用户、售电公司、合约电量、实际用电、结算金额、状态</w:t>
        <w:br/>
        <w:br/>
        <w:t>### 10.4 批零持仓管理</w:t>
        <w:br/>
        <w:br/>
        <w:t>**路径**：零售市场 → 批零持仓管理</w:t>
        <w:br/>
        <w:br/>
        <w:t>管理售电公司的批发买入和零售卖出持仓。</w:t>
        <w:br/>
        <w:br/>
        <w:t>**双图表**：</w:t>
        <w:br/>
        <w:t>- 左图：批发持仓柱状图（24小时）</w:t>
        <w:br/>
        <w:t>- 右图：零售持仓柱状图（24小时）</w:t>
        <w:br/>
        <w:br/>
        <w:t>**表格**：各售电公司的批发买入、零售卖出、净持仓、风险等级（低/中/高）</w:t>
        <w:br/>
        <w:br/>
        <w:t>---</w:t>
        <w:br/>
        <w:br/>
        <w:t>## 第十一章 交易结果与分析</w:t>
        <w:br/>
        <w:br/>
        <w:t>### 11.1 分时结果分析</w:t>
        <w:br/>
        <w:br/>
        <w:t>**路径**：交易结果 → 分时结果分析</w:t>
        <w:br/>
        <w:br/>
        <w:t>逐时段展示出清结果。</w:t>
        <w:br/>
        <w:br/>
        <w:t>**统计卡片**：均价、最高价、最低价、总电量</w:t>
        <w:br/>
        <w:br/>
        <w:t>**出清结果图**：</w:t>
        <w:br/>
        <w:t>- 橙色面积 = 出清价格</w:t>
        <w:br/>
        <w:t>- 蓝色线 = 负荷</w:t>
        <w:br/>
        <w:t>- 绿色线 = 发电</w:t>
        <w:br/>
        <w:br/>
        <w:t>**分时明细表格**：每个时段的出清价格、负荷、发电、新能源出力、阻塞情况</w:t>
        <w:br/>
        <w:br/>
        <w:t>### 11.2 全天结果分析</w:t>
        <w:br/>
        <w:br/>
        <w:t>**路径**：交易结果 → 全天结果分析</w:t>
        <w:br/>
        <w:br/>
        <w:t>从多个维度分析全天交易结果。</w:t>
        <w:br/>
        <w:br/>
        <w:t>**四个图表**：</w:t>
        <w:br/>
        <w:t>1. **价格分布**：柱状图展示不同价格区间的小时数分布</w:t>
        <w:br/>
        <w:t>2. **发电结构**：饼图展示各类电源发电量占比</w:t>
        <w:br/>
        <w:t>3. **负荷持续曲线**：将负荷从高到低排序后的曲线</w:t>
        <w:br/>
        <w:t>4. **收益分析**：堆叠柱状图展示各类电源在中长期、现货、辅助服务的收益</w:t>
        <w:br/>
        <w:br/>
        <w:t>### 11.3 图形化展示</w:t>
        <w:br/>
        <w:br/>
        <w:t>**路径**：交易结果 → 图形化展示</w:t>
        <w:br/>
        <w:br/>
        <w:t>以可视化图形展示仿真结果。</w:t>
        <w:br/>
        <w:br/>
        <w:t>**三个图表**：</w:t>
        <w:br/>
        <w:t>1. **机组出力热力图**：横轴24小时，纵轴各机组，颜色深浅表示出力大小</w:t>
        <w:br/>
        <w:t>2. **潮流桑基图**：展示电力从发电到负荷的流向关系</w:t>
        <w:br/>
        <w:t>3. **区域电力流**：各区域间的电力传输曲线</w:t>
        <w:br/>
        <w:br/>
        <w:t>### 11.4 结算账单生成</w:t>
        <w:br/>
        <w:br/>
        <w:t>**路径**：交易结果 → 结算账单生成</w:t>
        <w:br/>
        <w:br/>
        <w:t>生成各市场品种的结算账单。</w:t>
        <w:br/>
        <w:br/>
        <w:t>**统计卡片**：总金额、已结算、待结算、账单数</w:t>
        <w:br/>
        <w:br/>
        <w:t>**表格**：账单编号、结算类型（中长期/现货/辅助服务/零售/容量）、金额、日期、状态</w:t>
        <w:br/>
        <w:br/>
        <w:t>### 11.5 多场景对比</w:t>
        <w:br/>
        <w:br/>
        <w:t>**路径**：交易结果 → 多场景对比</w:t>
        <w:br/>
        <w:br/>
        <w:t>对比不同仿真场景的结果差异。</w:t>
        <w:br/>
        <w:br/>
        <w:t>**操作**：</w:t>
        <w:br/>
        <w:t>1. 在顶部选择两个场景（场景A vs 场景B）。</w:t>
        <w:br/>
        <w:t>2. 查看价格对比图和发电结构对比图。</w:t>
        <w:br/>
        <w:t>3. 下方表格展示各指标的差异值。</w:t>
        <w:br/>
        <w:br/>
        <w:t>**对比指标**：均价、最高价、最低价、总发电、新能源占比、碳排放</w:t>
        <w:br/>
        <w:br/>
        <w:t>---</w:t>
        <w:br/>
        <w:br/>
        <w:t>## 第十二章 交易对比</w:t>
        <w:br/>
        <w:br/>
        <w:t>### 12.1 中长期合约对比</w:t>
        <w:br/>
        <w:br/>
        <w:t>**路径**：交易对比 → 中长期合约对比</w:t>
        <w:br/>
        <w:br/>
        <w:t>对比不同场景下的中长期合约。</w:t>
        <w:br/>
        <w:br/>
        <w:t>**两个图表**：</w:t>
        <w:br/>
        <w:t>1. **合约价格对比**：柱状图对比各交易类型（双边/集中竞价/挂牌/滚动）的价格</w:t>
        <w:br/>
        <w:t>2. **合约电量对比**：饼图展示各类型合约的电量占比</w:t>
        <w:br/>
        <w:br/>
        <w:t>### 12.2 现货报价对比</w:t>
        <w:br/>
        <w:br/>
        <w:t>**路径**：交易对比 → 现货报价对比</w:t>
        <w:br/>
        <w:br/>
        <w:t>对比不同场景下的现货报价曲线。</w:t>
        <w:br/>
        <w:br/>
        <w:t>**图表**：双折线图对比场景A和场景B的24小时报价曲线</w:t>
        <w:br/>
        <w:br/>
        <w:t>**统计面板**：场景A均价、场景B均价、价格差异、成交量差异</w:t>
        <w:br/>
        <w:br/>
        <w:t>---</w:t>
        <w:br/>
        <w:br/>
        <w:t>## 第十三章 默认案例库</w:t>
        <w:br/>
        <w:br/>
        <w:t>### 13.1 案例列表</w:t>
        <w:br/>
        <w:br/>
        <w:t>**路径**：默认案例 → 默认案例</w:t>
        <w:br/>
        <w:br/>
        <w:t>系统预置的标准仿真案例库，适合新手快速上手。</w:t>
        <w:br/>
        <w:br/>
        <w:t>**页面布局**：</w:t>
        <w:br/>
        <w:t>- 顶部：搜索框 + "新增默认案例"按钮</w:t>
        <w:br/>
        <w:t>- 中部：案例卡片网格（每行3张卡片）</w:t>
        <w:br/>
        <w:t>- 底部：分页器</w:t>
        <w:br/>
        <w:br/>
        <w:t>**每张案例卡片包含**：</w:t>
        <w:br/>
        <w:t>- **封面**：渐变色背景 + 图标 + 案例名称</w:t>
        <w:br/>
        <w:t>- **徽章**：右上角"公开"标签，左上角"推荐"标签</w:t>
        <w:br/>
        <w:t>- **信息**：描述、起止日期、时间间隔、创建者+用户组</w:t>
        <w:br/>
        <w:t>- **操作按钮**：进入、删除、复制、编辑</w:t>
        <w:br/>
        <w:br/>
        <w:t>### 13.2 案例详情</w:t>
        <w:br/>
        <w:br/>
        <w:t>点击案例卡片的"进入"按钮，跳转到案例详情页。</w:t>
        <w:br/>
        <w:br/>
        <w:t>**详情页内容**：</w:t>
        <w:br/>
        <w:t>- **案例信息**：名称、编号、参与人数、仿真时长、难度等级、状态、描述</w:t>
        <w:br/>
        <w:t>- **案例流程**：8步垂直时间线，展示从规则设置到结果分析的完整流程</w:t>
        <w:br/>
        <w:br/>
        <w:t>**开始仿真**：</w:t>
        <w:br/>
        <w:t>1. 查看案例详情和流程。</w:t>
        <w:br/>
        <w:t>2. 点击底部"开始仿真"按钮。</w:t>
        <w:br/>
        <w:t>3. 系统跳转到仿真流程的第一步（交易规则设置）。</w:t>
        <w:br/>
        <w:br/>
        <w:t>### 13.3 新增 / 编辑 / 复制 / 删除案例</w:t>
        <w:br/>
        <w:br/>
        <w:t>**新增案例**：</w:t>
        <w:br/>
        <w:t>1. 点击"新增默认案例"按钮。</w:t>
        <w:br/>
        <w:t>2. 在弹出的对话框中填写：</w:t>
        <w:br/>
        <w:t xml:space="preserve">   - 案例名称（必填）</w:t>
        <w:br/>
        <w:t xml:space="preserve">   - 起止日期</w:t>
        <w:br/>
        <w:t xml:space="preserve">   - 时间间隔（15min / 1h）</w:t>
        <w:br/>
        <w:t xml:space="preserve">   - 案例描述</w:t>
        <w:br/>
        <w:t xml:space="preserve">   - 是否公开（开关）</w:t>
        <w:br/>
        <w:t xml:space="preserve">   - 是否推荐（开关）</w:t>
        <w:br/>
        <w:t>3. 点击确定创建。</w:t>
        <w:br/>
        <w:br/>
        <w:t>**编辑案例**：</w:t>
        <w:br/>
        <w:t>1. 点击案例卡片的"编辑"按钮。</w:t>
        <w:br/>
        <w:t>2. 在对话框中修改信息（起止日期和时间间隔不可修改）。</w:t>
        <w:br/>
        <w:t>3. 点击确定保存。</w:t>
        <w:br/>
        <w:br/>
        <w:t>**复制案例**：</w:t>
        <w:br/>
        <w:t>1. 点击案例卡片的"复制"按钮。</w:t>
        <w:br/>
        <w:t>2. 系统自动填充原案例信息，名称后缀"_副本"。</w:t>
        <w:br/>
        <w:t>3. 修改后点击确定创建副本。</w:t>
        <w:br/>
        <w:br/>
        <w:t>**删除案例**：</w:t>
        <w:br/>
        <w:t>1. 点击案例卡片的"删除"按钮。</w:t>
        <w:br/>
        <w:t>2. 在确认对话框中点击"确定"。</w:t>
        <w:br/>
        <w:br/>
        <w:t>---</w:t>
        <w:br/>
        <w:br/>
        <w:t>## 第十四章 个人中心与用户管理</w:t>
        <w:br/>
        <w:br/>
        <w:t>### 14.1 用户信息</w:t>
        <w:br/>
        <w:br/>
        <w:t>**路径**：个人中心 → 用户信息</w:t>
        <w:br/>
        <w:br/>
        <w:t>查看和修改个人资料。</w:t>
        <w:br/>
        <w:br/>
        <w:t>**页面内容**：</w:t>
        <w:br/>
        <w:t>- 左侧：头像（首字母圆形头像）+ 用户名 + 角色标签</w:t>
        <w:br/>
        <w:t>- 右侧：表单可修改用户名、姓名、邮箱、手机号、所属机构、职位</w:t>
        <w:br/>
        <w:br/>
        <w:t>### 14.2 修改密码</w:t>
        <w:br/>
        <w:br/>
        <w:t>**路径**：个人中心 → 修改密码（隐藏页面，需从用户下拉菜单进入）</w:t>
        <w:br/>
        <w:br/>
        <w:t>**操作步骤**：</w:t>
        <w:br/>
        <w:t>1. 输入当前密码。</w:t>
        <w:br/>
        <w:t>2. 输入新密码（至少6位）。</w:t>
        <w:br/>
        <w:t>3. 确认新密码（需与新密码一致）。</w:t>
        <w:br/>
        <w:t>4. 点击"确认修改"按钮。</w:t>
        <w:br/>
        <w:br/>
        <w:t>### 14.3 用户管理（管理员）</w:t>
        <w:br/>
        <w:br/>
        <w:t>**路径**：用户管理 → 用户管理（仅 Root 角色可见）</w:t>
        <w:br/>
        <w:br/>
        <w:t>管理系统中所有用户账号。</w:t>
        <w:br/>
        <w:br/>
        <w:t>**表格列**：用户名、姓名、用户组、邮箱、电话、状态（启用/禁用）</w:t>
        <w:br/>
        <w:br/>
        <w:t>### 14.4 用户组管理</w:t>
        <w:br/>
        <w:br/>
        <w:t>**路径**：用户管理 → 用户组管理</w:t>
        <w:br/>
        <w:br/>
        <w:t>管理系统角色组。</w:t>
        <w:br/>
        <w:br/>
        <w:t>**预置用户组**：</w:t>
        <w:br/>
        <w:t>| 组名 | 编码 | 说明 |</w:t>
        <w:br/>
        <w:t>|------|------|------|</w:t>
        <w:br/>
        <w:t>| Root | root | 超级管理员，拥有所有权限 |</w:t>
        <w:br/>
        <w:t>| 房间管理员 | RoomAdmin | 可创建和管理仿真房间 |</w:t>
        <w:br/>
        <w:t>| 房间用户 | RoomUser | 可加入房间参与仿真 |</w:t>
        <w:br/>
        <w:t>| 观察者 | Observer | 只读权限 |</w:t>
        <w:br/>
        <w:t>| 访客 | Guest | 临时访问（已禁用） |</w:t>
        <w:br/>
        <w:br/>
        <w:t>### 14.5 白名单管理</w:t>
        <w:br/>
        <w:br/>
        <w:t>**路径**：用户管理 → 白名单管理</w:t>
        <w:br/>
        <w:br/>
        <w:t>管理允许注册的IP地址和域名。</w:t>
        <w:br/>
        <w:br/>
        <w:t>**表格列**：类型（IP/域名）、IP地址、域名、描述、状态</w:t>
        <w:br/>
        <w:br/>
        <w:t>---</w:t>
        <w:br/>
        <w:br/>
        <w:t>## 第十五章 常见问题 FAQ</w:t>
        <w:br/>
        <w:br/>
        <w:t>### Q1：忘记密码怎么办？</w:t>
        <w:br/>
        <w:br/>
        <w:t>A：在登录页面点击"忘记密码？"，输入注册邮箱，系统会发送重置链接到邮箱。</w:t>
        <w:br/>
        <w:br/>
        <w:t>### Q2：为什么有些菜单点不开？</w:t>
        <w:br/>
        <w:br/>
        <w:t>A：部分功能模块需要先**加入一个仿真房间**。如果未加入房间，访问需要房间的功能（如中长期交易、现货交易等）会被自动引导到工作台。请先到"工作台 → 仪表盘"创建或加入一个房间。</w:t>
        <w:br/>
        <w:br/>
        <w:t>### Q3：如何快速开始一次仿真？</w:t>
        <w:br/>
        <w:br/>
        <w:t>A：最简单的方式是使用默认案例：</w:t>
        <w:br/>
        <w:t>1. 进入"默认案例"页面。</w:t>
        <w:br/>
        <w:t>2. 选择一个推荐案例（如"省级电力市场全场景仿真"）。</w:t>
        <w:br/>
        <w:t>3. 点击"进入"查看详情。</w:t>
        <w:br/>
        <w:t>4. 点击"开始仿真"按钮，系统会自动引导你完成7步仿真流程。</w:t>
        <w:br/>
        <w:br/>
        <w:t>### Q4：出清价格是怎么算出来的？</w:t>
        <w:br/>
        <w:br/>
        <w:t>A：出清价格由供需曲线的交点决定。买方从高价到低价排列，卖方从低价到高价排列，两条曲线相交处的价格就是统一出清价。所有报价优于出清价的买方和卖方都能成交。</w:t>
        <w:br/>
        <w:br/>
        <w:t>### Q5：日前市场和实时市场有什么区别？</w:t>
        <w:br/>
        <w:br/>
        <w:t>A：</w:t>
        <w:br/>
        <w:t>- **日前市场**：提前一天报价和出清，今天报明天的电价和电量，价格相对可预测。</w:t>
        <w:br/>
        <w:t>- **实时市场**：当天实时报价和出清，用于弥补日前计划的偏差，价格波动更大。</w:t>
        <w:br/>
        <w:br/>
        <w:t>### Q6：什么是"持仓"？为什么需要关注？</w:t>
        <w:br/>
        <w:br/>
        <w:t>A：持仓是你手中持有的合约电量。如果你买了100MWh的合约，就持有100MWh的多头持仓。关注持仓是因为：</w:t>
        <w:br/>
        <w:t>- 持仓过大可能面临价格波动风险</w:t>
        <w:br/>
        <w:t>- 持仓需要与实际用电/发电匹配，否则会产生偏差考核</w:t>
        <w:br/>
        <w:t>- 批零持仓管理是售电公司的核心业务</w:t>
        <w:br/>
        <w:br/>
        <w:t>### Q7：如何对比不同仿真场景的结果？</w:t>
        <w:br/>
        <w:br/>
        <w:t>A：进入"交易结果 → 多场景对比"页面，选择两个场景进行对比，系统会展示价格曲线对比、发电结构对比和各指标差异表格。</w:t>
        <w:br/>
        <w:br/>
        <w:t>### Q8：侧边栏菜单文字看不清怎么办？</w:t>
        <w:br/>
        <w:br/>
        <w:t>A：请尝试按 `Ctrl + F5` 强制刷新页面清除缓存。如果问题仍然存在，请联系管理员检查浏览器兼容性（推荐使用 Chrome 或 Edge 浏览器）。</w:t>
        <w:br/>
        <w:br/>
        <w:t>### Q9：如何导出数据？</w:t>
        <w:br/>
        <w:br/>
        <w:t>A：在支持导出的页面（如双边合约、结算账单等），点击右上角的"导出"按钮即可导出数据。</w:t>
        <w:br/>
        <w:br/>
        <w:t>### Q10：不同角色有什么权限区别？</w:t>
        <w:br/>
        <w:br/>
        <w:t>A：</w:t>
        <w:br/>
        <w:t>| 角色 | 可用功能 |</w:t>
        <w:br/>
        <w:t>|------|----------|</w:t>
        <w:br/>
        <w:t>| Root | 所有功能，包括用户管理 |</w:t>
        <w:br/>
        <w:t>| RoomAdmin | 创建房间、配置仿真流程、管理成员 |</w:t>
        <w:br/>
        <w:t>| RoomUser | 加入房间、参与交易、查看结果 |</w:t>
        <w:br/>
        <w:t>| Observer | 只读查看所有页面 |</w:t>
        <w:br/>
        <w:br/>
        <w:t>### Q11：如何折叠侧边栏获得更大的内容区？</w:t>
        <w:br/>
        <w:br/>
        <w:t>A：点击顶部栏最左侧的菜单图标按钮，可切换侧边栏的展开/折叠状态。折叠后侧边栏只显示图标，再次点击可展开。</w:t>
        <w:br/>
        <w:br/>
        <w:t>### Q12：系统支持哪些浏览器？</w:t>
        <w:br/>
        <w:br/>
        <w:t>A：推荐使用 **Google Chrome** 或 **Microsoft Edge** 最新版本。不建议使用 IE 浏览器。</w:t>
        <w:br/>
        <w:br/>
        <w:t>---</w:t>
        <w:br/>
        <w:br/>
        <w:t>&gt; **文档结束**</w:t>
        <w:br/>
        <w:t xml:space="preserve">&gt; </w:t>
        <w:br/>
        <w:t>&gt; 如有更多问题，请联系系统管理员或在系统公告中查看最新通知。</w:t>
        <w:br/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